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820" w:tblpY="4"/>
        <w:tblW w:w="0" w:type="auto"/>
        <w:tblLook w:val="04A0" w:firstRow="1" w:lastRow="0" w:firstColumn="1" w:lastColumn="0" w:noHBand="0" w:noVBand="1"/>
      </w:tblPr>
      <w:tblGrid>
        <w:gridCol w:w="15304"/>
      </w:tblGrid>
      <w:tr w:rsidR="0091778E" w14:paraId="3C621EE8" w14:textId="77777777" w:rsidTr="0091778E">
        <w:trPr>
          <w:trHeight w:val="141"/>
        </w:trPr>
        <w:tc>
          <w:tcPr>
            <w:tcW w:w="15304" w:type="dxa"/>
            <w:shd w:val="clear" w:color="auto" w:fill="CCC0D9" w:themeFill="accent4" w:themeFillTint="66"/>
          </w:tcPr>
          <w:p w14:paraId="68A27B53" w14:textId="4BB0D879" w:rsidR="0091778E" w:rsidRPr="003F05F2" w:rsidRDefault="0091778E" w:rsidP="0091778E">
            <w:pPr>
              <w:rPr>
                <w:sz w:val="24"/>
                <w:szCs w:val="24"/>
              </w:rPr>
            </w:pPr>
            <w:r w:rsidRPr="003F05F2">
              <w:rPr>
                <w:sz w:val="24"/>
                <w:szCs w:val="24"/>
              </w:rPr>
              <w:t xml:space="preserve">Pupil Premium Strategies must contain the ‘barriers to learning’ that disadvantaged pupils face as well as the ‘rationale’ behind the spending decisions made in order to address these barriers.  This rationale can include historical impact data but best practice is to combine professional knowledge with robust evidence about approaches which are known to be effective. You can consult external evidence sources such as: the Teaching and Learning Toolkit, the </w:t>
            </w:r>
            <w:proofErr w:type="spellStart"/>
            <w:r w:rsidRPr="003F05F2">
              <w:rPr>
                <w:sz w:val="24"/>
                <w:szCs w:val="24"/>
              </w:rPr>
              <w:t>NfER</w:t>
            </w:r>
            <w:proofErr w:type="spellEnd"/>
            <w:r w:rsidRPr="003F05F2">
              <w:rPr>
                <w:sz w:val="24"/>
                <w:szCs w:val="24"/>
              </w:rPr>
              <w:t xml:space="preserve"> report on supporting the attainment of disadvantaged pupils, Ofsted’s 2013 report on the pupil premium and Ofsted’s 2014 report on pupil premium progress. </w:t>
            </w:r>
            <w:r w:rsidR="003F05F2">
              <w:rPr>
                <w:sz w:val="24"/>
                <w:szCs w:val="24"/>
              </w:rPr>
              <w:t xml:space="preserve"> The Education Endowment Foundation are also a source of research evidence.</w:t>
            </w:r>
          </w:p>
        </w:tc>
      </w:tr>
    </w:tbl>
    <w:tbl>
      <w:tblPr>
        <w:tblStyle w:val="TableGrid"/>
        <w:tblpPr w:leftFromText="180" w:rightFromText="180" w:vertAnchor="text" w:horzAnchor="margin" w:tblpX="137" w:tblpY="2184"/>
        <w:tblW w:w="15309" w:type="dxa"/>
        <w:tblLook w:val="04A0" w:firstRow="1" w:lastRow="0" w:firstColumn="1" w:lastColumn="0" w:noHBand="0" w:noVBand="1"/>
      </w:tblPr>
      <w:tblGrid>
        <w:gridCol w:w="3402"/>
        <w:gridCol w:w="11907"/>
      </w:tblGrid>
      <w:tr w:rsidR="0091778E" w:rsidRPr="0091778E" w14:paraId="24991DB3" w14:textId="77777777" w:rsidTr="0091778E">
        <w:trPr>
          <w:trHeight w:val="183"/>
        </w:trPr>
        <w:tc>
          <w:tcPr>
            <w:tcW w:w="3402" w:type="dxa"/>
            <w:shd w:val="clear" w:color="auto" w:fill="CCC0D9" w:themeFill="accent4" w:themeFillTint="66"/>
          </w:tcPr>
          <w:p w14:paraId="6E7673D6" w14:textId="46320997" w:rsidR="0091778E" w:rsidRPr="00E8528C" w:rsidRDefault="0091778E" w:rsidP="0091778E">
            <w:pPr>
              <w:rPr>
                <w:rFonts w:ascii="Arial" w:hAnsi="Arial" w:cs="Arial"/>
                <w:b/>
                <w:sz w:val="20"/>
                <w:szCs w:val="20"/>
              </w:rPr>
            </w:pPr>
            <w:r w:rsidRPr="00E8528C">
              <w:rPr>
                <w:rFonts w:ascii="Arial" w:hAnsi="Arial" w:cs="Arial"/>
                <w:b/>
                <w:sz w:val="20"/>
                <w:szCs w:val="20"/>
              </w:rPr>
              <w:t xml:space="preserve">Area of Spend: </w:t>
            </w:r>
          </w:p>
        </w:tc>
        <w:tc>
          <w:tcPr>
            <w:tcW w:w="11907" w:type="dxa"/>
            <w:shd w:val="clear" w:color="auto" w:fill="CCC0D9" w:themeFill="accent4" w:themeFillTint="66"/>
          </w:tcPr>
          <w:p w14:paraId="0822080B" w14:textId="77777777" w:rsidR="0091778E" w:rsidRDefault="0091778E" w:rsidP="0091778E">
            <w:pPr>
              <w:rPr>
                <w:rFonts w:ascii="Arial" w:hAnsi="Arial" w:cs="Arial"/>
                <w:b/>
                <w:sz w:val="20"/>
                <w:szCs w:val="20"/>
              </w:rPr>
            </w:pPr>
            <w:r w:rsidRPr="00E8528C">
              <w:rPr>
                <w:rFonts w:ascii="Arial" w:hAnsi="Arial" w:cs="Arial"/>
                <w:b/>
                <w:sz w:val="20"/>
                <w:szCs w:val="20"/>
              </w:rPr>
              <w:t>Examples of Research Links</w:t>
            </w:r>
            <w:r w:rsidR="003F05F2">
              <w:rPr>
                <w:rFonts w:ascii="Arial" w:hAnsi="Arial" w:cs="Arial"/>
                <w:b/>
                <w:sz w:val="20"/>
                <w:szCs w:val="20"/>
              </w:rPr>
              <w:t xml:space="preserve"> to Support Rationale Statements</w:t>
            </w:r>
          </w:p>
          <w:p w14:paraId="5146CFA7" w14:textId="223FE432" w:rsidR="003F05F2" w:rsidRPr="00E8528C" w:rsidRDefault="003F05F2" w:rsidP="0091778E">
            <w:pPr>
              <w:rPr>
                <w:rFonts w:ascii="Arial" w:hAnsi="Arial" w:cs="Arial"/>
                <w:b/>
                <w:sz w:val="20"/>
                <w:szCs w:val="20"/>
              </w:rPr>
            </w:pPr>
          </w:p>
        </w:tc>
      </w:tr>
      <w:tr w:rsidR="0091778E" w:rsidRPr="0091778E" w14:paraId="1118C8B8" w14:textId="77777777" w:rsidTr="0091778E">
        <w:trPr>
          <w:trHeight w:val="183"/>
        </w:trPr>
        <w:tc>
          <w:tcPr>
            <w:tcW w:w="3402" w:type="dxa"/>
            <w:shd w:val="clear" w:color="auto" w:fill="auto"/>
          </w:tcPr>
          <w:p w14:paraId="21152250" w14:textId="77777777" w:rsidR="0091778E" w:rsidRPr="0091778E" w:rsidRDefault="0091778E" w:rsidP="0091778E">
            <w:pPr>
              <w:rPr>
                <w:rFonts w:ascii="Arial" w:hAnsi="Arial" w:cs="Arial"/>
                <w:sz w:val="18"/>
                <w:szCs w:val="18"/>
              </w:rPr>
            </w:pPr>
            <w:r w:rsidRPr="00D42A93">
              <w:rPr>
                <w:rFonts w:ascii="Arial" w:hAnsi="Arial" w:cs="Arial"/>
                <w:sz w:val="18"/>
                <w:szCs w:val="18"/>
                <w:highlight w:val="yellow"/>
              </w:rPr>
              <w:t xml:space="preserve">Staff training on </w:t>
            </w:r>
            <w:r w:rsidRPr="00D42A93">
              <w:rPr>
                <w:rFonts w:ascii="Arial" w:hAnsi="Arial" w:cs="Arial"/>
                <w:b/>
                <w:sz w:val="18"/>
                <w:szCs w:val="18"/>
                <w:highlight w:val="yellow"/>
              </w:rPr>
              <w:t>high quality feedback</w:t>
            </w:r>
            <w:r w:rsidRPr="00D42A93">
              <w:rPr>
                <w:rFonts w:ascii="Arial" w:hAnsi="Arial" w:cs="Arial"/>
                <w:sz w:val="18"/>
                <w:szCs w:val="18"/>
                <w:highlight w:val="yellow"/>
              </w:rPr>
              <w:t xml:space="preserve"> to improve oral language skills</w:t>
            </w:r>
            <w:r w:rsidRPr="0091778E">
              <w:rPr>
                <w:rFonts w:ascii="Arial" w:hAnsi="Arial" w:cs="Arial"/>
                <w:sz w:val="18"/>
                <w:szCs w:val="18"/>
              </w:rPr>
              <w:t xml:space="preserve">   </w:t>
            </w:r>
          </w:p>
        </w:tc>
        <w:tc>
          <w:tcPr>
            <w:tcW w:w="11907" w:type="dxa"/>
            <w:shd w:val="clear" w:color="auto" w:fill="auto"/>
          </w:tcPr>
          <w:p w14:paraId="023B59A7" w14:textId="5C3E468A" w:rsidR="0091778E" w:rsidRDefault="0091778E" w:rsidP="0091778E">
            <w:pPr>
              <w:rPr>
                <w:rFonts w:ascii="Arial" w:hAnsi="Arial" w:cs="Arial"/>
                <w:sz w:val="18"/>
                <w:szCs w:val="18"/>
              </w:rPr>
            </w:pPr>
            <w:r w:rsidRPr="0091778E">
              <w:rPr>
                <w:rFonts w:ascii="Arial" w:hAnsi="Arial" w:cs="Arial"/>
                <w:sz w:val="18"/>
                <w:szCs w:val="18"/>
              </w:rPr>
              <w:t>Many different evidence sources, e.g. EEF Toolkit suggest high quality feedback is an effective way to improve attainment, and it is suitable as an approach that we can embed across the school.</w:t>
            </w:r>
            <w:r w:rsidR="003774DF">
              <w:rPr>
                <w:rFonts w:ascii="Arial" w:hAnsi="Arial" w:cs="Arial"/>
                <w:sz w:val="18"/>
                <w:szCs w:val="18"/>
              </w:rPr>
              <w:t xml:space="preserve"> </w:t>
            </w:r>
            <w:r w:rsidR="003774DF" w:rsidRPr="003774DF">
              <w:rPr>
                <w:rFonts w:ascii="Arial" w:hAnsi="Arial" w:cs="Arial"/>
                <w:sz w:val="18"/>
                <w:szCs w:val="18"/>
              </w:rPr>
              <w:t>Feedback studies tend to show very high effects on learning</w:t>
            </w:r>
            <w:r w:rsidR="003774DF">
              <w:rPr>
                <w:rFonts w:ascii="Arial" w:hAnsi="Arial" w:cs="Arial"/>
                <w:sz w:val="18"/>
                <w:szCs w:val="18"/>
              </w:rPr>
              <w:t xml:space="preserve"> - </w:t>
            </w:r>
            <w:hyperlink r:id="rId10" w:history="1">
              <w:r w:rsidR="003774DF" w:rsidRPr="00CC564D">
                <w:rPr>
                  <w:rStyle w:val="Hyperlink"/>
                  <w:rFonts w:ascii="Arial" w:hAnsi="Arial" w:cs="Arial"/>
                  <w:sz w:val="18"/>
                  <w:szCs w:val="18"/>
                </w:rPr>
                <w:t>https://educationendowmentfoundation.org.uk/evidence-summaries/teaching-learning-toolkit/feedback/</w:t>
              </w:r>
            </w:hyperlink>
            <w:r w:rsidR="003774DF">
              <w:rPr>
                <w:rFonts w:ascii="Arial" w:hAnsi="Arial" w:cs="Arial"/>
                <w:sz w:val="18"/>
                <w:szCs w:val="18"/>
              </w:rPr>
              <w:t xml:space="preserve"> </w:t>
            </w:r>
          </w:p>
          <w:p w14:paraId="42D21913" w14:textId="17318054" w:rsidR="0091778E" w:rsidRPr="0091778E" w:rsidRDefault="0091778E" w:rsidP="0091778E">
            <w:pPr>
              <w:rPr>
                <w:rFonts w:ascii="Arial" w:hAnsi="Arial" w:cs="Arial"/>
                <w:sz w:val="18"/>
                <w:szCs w:val="18"/>
              </w:rPr>
            </w:pPr>
          </w:p>
        </w:tc>
      </w:tr>
      <w:tr w:rsidR="00A14A93" w:rsidRPr="0091778E" w14:paraId="370685E8" w14:textId="77777777" w:rsidTr="0091778E">
        <w:trPr>
          <w:trHeight w:val="183"/>
        </w:trPr>
        <w:tc>
          <w:tcPr>
            <w:tcW w:w="3402" w:type="dxa"/>
            <w:shd w:val="clear" w:color="auto" w:fill="auto"/>
          </w:tcPr>
          <w:p w14:paraId="2373DEEF" w14:textId="3B3C630C" w:rsidR="00A14A93" w:rsidRPr="0091778E" w:rsidRDefault="00A14A93" w:rsidP="0091778E">
            <w:pPr>
              <w:rPr>
                <w:rFonts w:ascii="Arial" w:hAnsi="Arial" w:cs="Arial"/>
                <w:sz w:val="18"/>
                <w:szCs w:val="18"/>
              </w:rPr>
            </w:pPr>
            <w:r w:rsidRPr="00D42A93">
              <w:rPr>
                <w:rFonts w:ascii="Arial" w:hAnsi="Arial" w:cs="Arial"/>
                <w:sz w:val="18"/>
                <w:szCs w:val="18"/>
                <w:highlight w:val="yellow"/>
              </w:rPr>
              <w:t xml:space="preserve">Developing </w:t>
            </w:r>
            <w:r w:rsidRPr="00D42A93">
              <w:rPr>
                <w:rFonts w:ascii="Arial" w:hAnsi="Arial" w:cs="Arial"/>
                <w:b/>
                <w:sz w:val="18"/>
                <w:szCs w:val="18"/>
                <w:highlight w:val="yellow"/>
              </w:rPr>
              <w:t>Oral Language skills</w:t>
            </w:r>
          </w:p>
        </w:tc>
        <w:tc>
          <w:tcPr>
            <w:tcW w:w="11907" w:type="dxa"/>
            <w:shd w:val="clear" w:color="auto" w:fill="auto"/>
          </w:tcPr>
          <w:p w14:paraId="1FC637D2" w14:textId="4E674257" w:rsidR="00A14A93" w:rsidRPr="00A14A93" w:rsidRDefault="00A14A93" w:rsidP="00A14A93">
            <w:pPr>
              <w:rPr>
                <w:rFonts w:ascii="Arial" w:hAnsi="Arial" w:cs="Arial"/>
                <w:sz w:val="18"/>
                <w:szCs w:val="18"/>
              </w:rPr>
            </w:pPr>
            <w:r>
              <w:rPr>
                <w:rFonts w:ascii="Arial" w:hAnsi="Arial" w:cs="Arial"/>
                <w:sz w:val="18"/>
                <w:szCs w:val="18"/>
              </w:rPr>
              <w:t xml:space="preserve">The EEF report, Improving Literacy in KS1 report states that </w:t>
            </w:r>
            <w:r>
              <w:t>a</w:t>
            </w:r>
            <w:r w:rsidRPr="00A14A93">
              <w:rPr>
                <w:rFonts w:ascii="Arial" w:hAnsi="Arial" w:cs="Arial"/>
                <w:sz w:val="18"/>
                <w:szCs w:val="18"/>
              </w:rPr>
              <w:t xml:space="preserve"> focus on developing oral language skills is especially important </w:t>
            </w:r>
            <w:r>
              <w:rPr>
                <w:rFonts w:ascii="Arial" w:hAnsi="Arial" w:cs="Arial"/>
                <w:sz w:val="18"/>
                <w:szCs w:val="18"/>
              </w:rPr>
              <w:t xml:space="preserve">for the development </w:t>
            </w:r>
            <w:r w:rsidRPr="00A14A93">
              <w:rPr>
                <w:rFonts w:ascii="Arial" w:hAnsi="Arial" w:cs="Arial"/>
                <w:sz w:val="18"/>
                <w:szCs w:val="18"/>
              </w:rPr>
              <w:t>of a range of reading and writing skills in this age group.</w:t>
            </w:r>
            <w:r>
              <w:t xml:space="preserve"> </w:t>
            </w:r>
            <w:hyperlink r:id="rId11" w:history="1">
              <w:r w:rsidRPr="00CD44BE">
                <w:rPr>
                  <w:rStyle w:val="Hyperlink"/>
                  <w:rFonts w:ascii="Arial" w:hAnsi="Arial" w:cs="Arial"/>
                  <w:sz w:val="18"/>
                  <w:szCs w:val="18"/>
                </w:rPr>
                <w:t>https://educationendowmentfoundation.org.uk/public/files/Publications/Campaigns/Literacy/KS1_Literacy_Guidance.pdf</w:t>
              </w:r>
            </w:hyperlink>
            <w:r>
              <w:rPr>
                <w:rFonts w:ascii="Arial" w:hAnsi="Arial" w:cs="Arial"/>
                <w:sz w:val="18"/>
                <w:szCs w:val="18"/>
              </w:rPr>
              <w:t xml:space="preserve"> </w:t>
            </w:r>
          </w:p>
          <w:p w14:paraId="2F3C4A98" w14:textId="763B0A3C" w:rsidR="00A14A93" w:rsidRPr="0091778E" w:rsidRDefault="00A14A93" w:rsidP="0091778E">
            <w:pPr>
              <w:rPr>
                <w:rFonts w:ascii="Arial" w:hAnsi="Arial" w:cs="Arial"/>
                <w:sz w:val="18"/>
                <w:szCs w:val="18"/>
              </w:rPr>
            </w:pPr>
          </w:p>
        </w:tc>
      </w:tr>
      <w:tr w:rsidR="0091778E" w:rsidRPr="0091778E" w14:paraId="0ADD825B" w14:textId="77777777" w:rsidTr="0091778E">
        <w:trPr>
          <w:trHeight w:val="183"/>
        </w:trPr>
        <w:tc>
          <w:tcPr>
            <w:tcW w:w="3402" w:type="dxa"/>
            <w:shd w:val="clear" w:color="auto" w:fill="auto"/>
          </w:tcPr>
          <w:p w14:paraId="7ED8F403" w14:textId="77777777" w:rsidR="0091778E" w:rsidRPr="0091778E" w:rsidRDefault="0091778E" w:rsidP="0091778E">
            <w:pPr>
              <w:rPr>
                <w:rFonts w:ascii="Arial" w:hAnsi="Arial" w:cs="Arial"/>
                <w:sz w:val="18"/>
                <w:szCs w:val="18"/>
              </w:rPr>
            </w:pPr>
            <w:r w:rsidRPr="0091778E">
              <w:rPr>
                <w:rFonts w:ascii="Arial" w:hAnsi="Arial" w:cs="Arial"/>
                <w:sz w:val="18"/>
                <w:szCs w:val="18"/>
              </w:rPr>
              <w:t xml:space="preserve">Weekly </w:t>
            </w:r>
            <w:r w:rsidRPr="003774DF">
              <w:rPr>
                <w:rFonts w:ascii="Arial" w:hAnsi="Arial" w:cs="Arial"/>
                <w:b/>
                <w:sz w:val="18"/>
                <w:szCs w:val="18"/>
              </w:rPr>
              <w:t>small group sessions</w:t>
            </w:r>
            <w:r w:rsidRPr="0091778E">
              <w:rPr>
                <w:rFonts w:ascii="Arial" w:hAnsi="Arial" w:cs="Arial"/>
                <w:sz w:val="18"/>
                <w:szCs w:val="18"/>
              </w:rPr>
              <w:t xml:space="preserve"> for </w:t>
            </w:r>
            <w:r w:rsidRPr="00E61265">
              <w:rPr>
                <w:rFonts w:ascii="Arial" w:hAnsi="Arial" w:cs="Arial"/>
                <w:b/>
                <w:sz w:val="18"/>
                <w:szCs w:val="18"/>
              </w:rPr>
              <w:t>high-attaining pupils</w:t>
            </w:r>
            <w:r w:rsidRPr="0091778E">
              <w:rPr>
                <w:rFonts w:ascii="Arial" w:hAnsi="Arial" w:cs="Arial"/>
                <w:sz w:val="18"/>
                <w:szCs w:val="18"/>
              </w:rPr>
              <w:t xml:space="preserve"> with experienced teacher, in addition to standard lessons.  </w:t>
            </w:r>
          </w:p>
        </w:tc>
        <w:tc>
          <w:tcPr>
            <w:tcW w:w="11907" w:type="dxa"/>
            <w:shd w:val="clear" w:color="auto" w:fill="auto"/>
          </w:tcPr>
          <w:p w14:paraId="641607A1" w14:textId="77777777" w:rsidR="0091778E" w:rsidRPr="0091778E" w:rsidRDefault="0091778E" w:rsidP="0091778E">
            <w:pPr>
              <w:rPr>
                <w:rFonts w:ascii="Arial" w:hAnsi="Arial" w:cs="Arial"/>
                <w:sz w:val="18"/>
                <w:szCs w:val="18"/>
              </w:rPr>
            </w:pPr>
            <w:r w:rsidRPr="0091778E">
              <w:rPr>
                <w:rFonts w:ascii="Arial" w:hAnsi="Arial" w:cs="Arial"/>
                <w:sz w:val="18"/>
                <w:szCs w:val="18"/>
              </w:rPr>
              <w:t>We want to provide extra support to maintain high attainment. Small group interventions with highly qualified staff have been shown to be effective, as discussed in reliable evidence sources such as Visible Learning by John Hattie and the EEF Toolkit. We want to combine this additional provision with some ‘aspiration’ interventions such as talks from successful former pupils.</w:t>
            </w:r>
          </w:p>
          <w:p w14:paraId="3C2FA519" w14:textId="77777777" w:rsidR="0091778E" w:rsidRPr="0091778E" w:rsidRDefault="0091778E" w:rsidP="0091778E">
            <w:pPr>
              <w:rPr>
                <w:rFonts w:ascii="Arial" w:hAnsi="Arial" w:cs="Arial"/>
                <w:sz w:val="18"/>
                <w:szCs w:val="18"/>
              </w:rPr>
            </w:pPr>
          </w:p>
        </w:tc>
      </w:tr>
      <w:tr w:rsidR="00E61265" w:rsidRPr="0091778E" w14:paraId="245A1F93" w14:textId="77777777" w:rsidTr="0091778E">
        <w:trPr>
          <w:trHeight w:val="183"/>
        </w:trPr>
        <w:tc>
          <w:tcPr>
            <w:tcW w:w="3402" w:type="dxa"/>
            <w:shd w:val="clear" w:color="auto" w:fill="auto"/>
          </w:tcPr>
          <w:p w14:paraId="061C7920" w14:textId="1957F763" w:rsidR="00E61265" w:rsidRPr="004E21FA" w:rsidRDefault="00E61265" w:rsidP="0091778E">
            <w:pPr>
              <w:rPr>
                <w:rFonts w:ascii="Arial" w:hAnsi="Arial" w:cs="Arial"/>
                <w:b/>
                <w:sz w:val="18"/>
                <w:szCs w:val="18"/>
                <w:highlight w:val="yellow"/>
              </w:rPr>
            </w:pPr>
            <w:r w:rsidRPr="004E21FA">
              <w:rPr>
                <w:rFonts w:ascii="Arial" w:hAnsi="Arial" w:cs="Arial"/>
                <w:b/>
                <w:sz w:val="18"/>
                <w:szCs w:val="18"/>
                <w:highlight w:val="yellow"/>
              </w:rPr>
              <w:t>Small group interventions / 1:1 - generic</w:t>
            </w:r>
          </w:p>
        </w:tc>
        <w:tc>
          <w:tcPr>
            <w:tcW w:w="11907" w:type="dxa"/>
            <w:shd w:val="clear" w:color="auto" w:fill="auto"/>
          </w:tcPr>
          <w:p w14:paraId="6942CE6D" w14:textId="77777777" w:rsidR="00E61265" w:rsidRDefault="00E61265" w:rsidP="0091778E">
            <w:pPr>
              <w:rPr>
                <w:rFonts w:ascii="Arial" w:hAnsi="Arial" w:cs="Arial"/>
                <w:sz w:val="18"/>
                <w:szCs w:val="18"/>
              </w:rPr>
            </w:pPr>
            <w:r>
              <w:rPr>
                <w:rFonts w:ascii="Arial" w:hAnsi="Arial" w:cs="Arial"/>
                <w:sz w:val="18"/>
                <w:szCs w:val="18"/>
              </w:rPr>
              <w:t>In the EEF Attainment Gap 2017 report, it states that t</w:t>
            </w:r>
            <w:r w:rsidRPr="00E61265">
              <w:rPr>
                <w:rFonts w:ascii="Arial" w:hAnsi="Arial" w:cs="Arial"/>
                <w:sz w:val="18"/>
                <w:szCs w:val="18"/>
              </w:rPr>
              <w:t>argeted small group and one-to-one interventions have the potential for the largest immediate impact on attainment</w:t>
            </w:r>
            <w:r>
              <w:rPr>
                <w:rFonts w:ascii="Arial" w:hAnsi="Arial" w:cs="Arial"/>
                <w:sz w:val="18"/>
                <w:szCs w:val="18"/>
              </w:rPr>
              <w:t xml:space="preserve"> </w:t>
            </w:r>
            <w:hyperlink r:id="rId12" w:history="1">
              <w:r w:rsidRPr="00CD44BE">
                <w:rPr>
                  <w:rStyle w:val="Hyperlink"/>
                  <w:rFonts w:ascii="Arial" w:hAnsi="Arial" w:cs="Arial"/>
                  <w:sz w:val="18"/>
                  <w:szCs w:val="18"/>
                </w:rPr>
                <w:t>https://educationendowmentfoundation.org.uk/evidence-summaries/attainment-gap/</w:t>
              </w:r>
            </w:hyperlink>
            <w:r>
              <w:rPr>
                <w:rFonts w:ascii="Arial" w:hAnsi="Arial" w:cs="Arial"/>
                <w:sz w:val="18"/>
                <w:szCs w:val="18"/>
              </w:rPr>
              <w:t xml:space="preserve"> </w:t>
            </w:r>
          </w:p>
          <w:p w14:paraId="0D5F8410" w14:textId="16E4F975" w:rsidR="00E61265" w:rsidRPr="0091778E" w:rsidRDefault="00E61265" w:rsidP="0091778E">
            <w:pPr>
              <w:rPr>
                <w:rFonts w:ascii="Arial" w:hAnsi="Arial" w:cs="Arial"/>
                <w:sz w:val="18"/>
                <w:szCs w:val="18"/>
              </w:rPr>
            </w:pPr>
          </w:p>
        </w:tc>
      </w:tr>
      <w:tr w:rsidR="003774DF" w:rsidRPr="0091778E" w14:paraId="6C2C7ED6" w14:textId="77777777" w:rsidTr="0091778E">
        <w:trPr>
          <w:trHeight w:val="183"/>
        </w:trPr>
        <w:tc>
          <w:tcPr>
            <w:tcW w:w="3402" w:type="dxa"/>
            <w:shd w:val="clear" w:color="auto" w:fill="auto"/>
          </w:tcPr>
          <w:p w14:paraId="30D36FC1" w14:textId="052B5DE4" w:rsidR="003774DF" w:rsidRPr="004E21FA" w:rsidRDefault="003774DF" w:rsidP="0091778E">
            <w:pPr>
              <w:rPr>
                <w:rFonts w:ascii="Arial" w:hAnsi="Arial" w:cs="Arial"/>
                <w:b/>
                <w:sz w:val="18"/>
                <w:szCs w:val="18"/>
                <w:highlight w:val="yellow"/>
              </w:rPr>
            </w:pPr>
            <w:r w:rsidRPr="004E21FA">
              <w:rPr>
                <w:rFonts w:ascii="Arial" w:hAnsi="Arial" w:cs="Arial"/>
                <w:b/>
                <w:sz w:val="18"/>
                <w:szCs w:val="18"/>
                <w:highlight w:val="yellow"/>
              </w:rPr>
              <w:t>Mastery Learning</w:t>
            </w:r>
          </w:p>
        </w:tc>
        <w:tc>
          <w:tcPr>
            <w:tcW w:w="11907" w:type="dxa"/>
            <w:shd w:val="clear" w:color="auto" w:fill="auto"/>
          </w:tcPr>
          <w:p w14:paraId="65FA47A6" w14:textId="77777777" w:rsidR="003774DF" w:rsidRDefault="003774DF" w:rsidP="0091778E">
            <w:pPr>
              <w:rPr>
                <w:rFonts w:ascii="Arial" w:hAnsi="Arial" w:cs="Arial"/>
                <w:sz w:val="18"/>
                <w:szCs w:val="18"/>
              </w:rPr>
            </w:pPr>
            <w:r w:rsidRPr="003774DF">
              <w:rPr>
                <w:rFonts w:ascii="Arial" w:hAnsi="Arial" w:cs="Arial"/>
                <w:sz w:val="18"/>
                <w:szCs w:val="18"/>
              </w:rPr>
              <w:t>There are a number of meta-analyses which indicate that, on average, mastery learning approaches are effective</w:t>
            </w:r>
            <w:r>
              <w:rPr>
                <w:rFonts w:ascii="Arial" w:hAnsi="Arial" w:cs="Arial"/>
                <w:sz w:val="18"/>
                <w:szCs w:val="18"/>
              </w:rPr>
              <w:t xml:space="preserve"> - </w:t>
            </w:r>
            <w:hyperlink r:id="rId13" w:history="1">
              <w:r w:rsidRPr="00CC564D">
                <w:rPr>
                  <w:rStyle w:val="Hyperlink"/>
                  <w:rFonts w:ascii="Arial" w:hAnsi="Arial" w:cs="Arial"/>
                  <w:sz w:val="18"/>
                  <w:szCs w:val="18"/>
                </w:rPr>
                <w:t>https://educationendowmentfoundation.org.uk/evidence-summaries/teaching-learning-toolkit/mastery-learning/</w:t>
              </w:r>
            </w:hyperlink>
            <w:r>
              <w:rPr>
                <w:rFonts w:ascii="Arial" w:hAnsi="Arial" w:cs="Arial"/>
                <w:sz w:val="18"/>
                <w:szCs w:val="18"/>
              </w:rPr>
              <w:t xml:space="preserve"> </w:t>
            </w:r>
          </w:p>
          <w:p w14:paraId="3A731655" w14:textId="2D7E6BCC" w:rsidR="003774DF" w:rsidRPr="0091778E" w:rsidRDefault="003774DF" w:rsidP="0091778E">
            <w:pPr>
              <w:rPr>
                <w:rFonts w:ascii="Arial" w:hAnsi="Arial" w:cs="Arial"/>
                <w:sz w:val="18"/>
                <w:szCs w:val="18"/>
              </w:rPr>
            </w:pPr>
          </w:p>
        </w:tc>
      </w:tr>
      <w:tr w:rsidR="0091778E" w:rsidRPr="0091778E" w14:paraId="20C3CFA3" w14:textId="77777777" w:rsidTr="0091778E">
        <w:trPr>
          <w:trHeight w:val="183"/>
        </w:trPr>
        <w:tc>
          <w:tcPr>
            <w:tcW w:w="3402" w:type="dxa"/>
            <w:vMerge w:val="restart"/>
            <w:shd w:val="clear" w:color="auto" w:fill="auto"/>
          </w:tcPr>
          <w:p w14:paraId="10A9A8BC" w14:textId="10F08A6F" w:rsidR="0091778E" w:rsidRPr="00E8528C" w:rsidRDefault="0091778E" w:rsidP="0091778E">
            <w:pPr>
              <w:rPr>
                <w:rFonts w:ascii="Arial" w:hAnsi="Arial" w:cs="Arial"/>
                <w:i/>
                <w:sz w:val="16"/>
                <w:szCs w:val="16"/>
              </w:rPr>
            </w:pPr>
            <w:r w:rsidRPr="004E21FA">
              <w:rPr>
                <w:rFonts w:ascii="Arial" w:hAnsi="Arial" w:cs="Arial"/>
                <w:b/>
                <w:sz w:val="18"/>
                <w:szCs w:val="18"/>
                <w:highlight w:val="yellow"/>
              </w:rPr>
              <w:t>SEMH - Behaviour</w:t>
            </w:r>
            <w:r w:rsidRPr="004E21FA">
              <w:rPr>
                <w:rFonts w:ascii="Arial" w:hAnsi="Arial" w:cs="Arial"/>
                <w:sz w:val="18"/>
                <w:szCs w:val="18"/>
                <w:highlight w:val="yellow"/>
              </w:rPr>
              <w:t xml:space="preserve"> </w:t>
            </w:r>
            <w:r w:rsidRPr="004E21FA">
              <w:rPr>
                <w:rFonts w:ascii="Arial" w:hAnsi="Arial" w:cs="Arial"/>
                <w:i/>
                <w:sz w:val="18"/>
                <w:szCs w:val="18"/>
                <w:highlight w:val="yellow"/>
              </w:rPr>
              <w:t>(</w:t>
            </w:r>
            <w:proofErr w:type="spellStart"/>
            <w:r w:rsidRPr="004E21FA">
              <w:rPr>
                <w:rFonts w:ascii="Arial" w:hAnsi="Arial" w:cs="Arial"/>
                <w:i/>
                <w:sz w:val="18"/>
                <w:szCs w:val="18"/>
                <w:highlight w:val="yellow"/>
              </w:rPr>
              <w:t>eg</w:t>
            </w:r>
            <w:proofErr w:type="spellEnd"/>
            <w:r w:rsidRPr="004E21FA">
              <w:rPr>
                <w:rFonts w:ascii="Arial" w:hAnsi="Arial" w:cs="Arial"/>
                <w:i/>
                <w:sz w:val="18"/>
                <w:szCs w:val="18"/>
                <w:highlight w:val="yellow"/>
              </w:rPr>
              <w:t>.  Identify a targeted behaviour</w:t>
            </w:r>
            <w:r w:rsidRPr="00E8528C">
              <w:rPr>
                <w:rFonts w:ascii="Arial" w:hAnsi="Arial" w:cs="Arial"/>
                <w:i/>
                <w:sz w:val="18"/>
                <w:szCs w:val="18"/>
              </w:rPr>
              <w:t xml:space="preserve"> intervention for identified students.</w:t>
            </w:r>
            <w:r w:rsidR="00E8528C" w:rsidRPr="00E8528C">
              <w:rPr>
                <w:rFonts w:ascii="Arial" w:hAnsi="Arial" w:cs="Arial"/>
                <w:i/>
                <w:sz w:val="18"/>
                <w:szCs w:val="18"/>
              </w:rPr>
              <w:t xml:space="preserve"> </w:t>
            </w:r>
            <w:r w:rsidRPr="00E8528C">
              <w:rPr>
                <w:rFonts w:ascii="Arial" w:hAnsi="Arial" w:cs="Arial"/>
                <w:i/>
                <w:sz w:val="18"/>
                <w:szCs w:val="18"/>
              </w:rPr>
              <w:t>Use support worker to engage with pare</w:t>
            </w:r>
            <w:r w:rsidR="00E8528C" w:rsidRPr="00E8528C">
              <w:rPr>
                <w:rFonts w:ascii="Arial" w:hAnsi="Arial" w:cs="Arial"/>
                <w:i/>
                <w:sz w:val="18"/>
                <w:szCs w:val="18"/>
              </w:rPr>
              <w:t xml:space="preserve">nts before intervention begins. </w:t>
            </w:r>
            <w:r w:rsidRPr="00E8528C">
              <w:rPr>
                <w:rFonts w:ascii="Arial" w:hAnsi="Arial" w:cs="Arial"/>
                <w:i/>
                <w:sz w:val="18"/>
                <w:szCs w:val="18"/>
              </w:rPr>
              <w:t>Develop restorative approaches and focus on positive behaviours)</w:t>
            </w:r>
          </w:p>
          <w:p w14:paraId="1A370326" w14:textId="77777777" w:rsidR="0091778E" w:rsidRDefault="0091778E" w:rsidP="0091778E">
            <w:pPr>
              <w:rPr>
                <w:rFonts w:ascii="Arial" w:hAnsi="Arial" w:cs="Arial"/>
                <w:sz w:val="18"/>
                <w:szCs w:val="18"/>
              </w:rPr>
            </w:pPr>
          </w:p>
          <w:p w14:paraId="1BE77F6D" w14:textId="77777777" w:rsidR="000016F4" w:rsidRDefault="000016F4" w:rsidP="0091778E">
            <w:pPr>
              <w:rPr>
                <w:rFonts w:ascii="Arial" w:hAnsi="Arial" w:cs="Arial"/>
                <w:sz w:val="18"/>
                <w:szCs w:val="18"/>
              </w:rPr>
            </w:pPr>
          </w:p>
          <w:p w14:paraId="57BAE42D" w14:textId="4B808126" w:rsidR="000016F4" w:rsidRPr="0091778E" w:rsidRDefault="000016F4" w:rsidP="0091778E">
            <w:pPr>
              <w:rPr>
                <w:rFonts w:ascii="Arial" w:hAnsi="Arial" w:cs="Arial"/>
                <w:sz w:val="18"/>
                <w:szCs w:val="18"/>
              </w:rPr>
            </w:pPr>
          </w:p>
        </w:tc>
        <w:tc>
          <w:tcPr>
            <w:tcW w:w="11907" w:type="dxa"/>
            <w:shd w:val="clear" w:color="auto" w:fill="auto"/>
          </w:tcPr>
          <w:p w14:paraId="37D06ECF" w14:textId="77777777" w:rsidR="0091778E" w:rsidRPr="0091778E" w:rsidRDefault="0091778E" w:rsidP="0091778E">
            <w:pPr>
              <w:rPr>
                <w:rFonts w:ascii="Arial" w:hAnsi="Arial" w:cs="Arial"/>
                <w:sz w:val="18"/>
                <w:szCs w:val="18"/>
              </w:rPr>
            </w:pPr>
            <w:r w:rsidRPr="0091778E">
              <w:rPr>
                <w:rFonts w:ascii="Arial" w:hAnsi="Arial" w:cs="Arial"/>
                <w:sz w:val="18"/>
                <w:szCs w:val="18"/>
              </w:rPr>
              <w:t>This approach is in line with research that demonstrates that Social and Emotional Learning interventions have an identifiable and significant impact on attitudes to learning, social relationships in school, and attainment itself</w:t>
            </w:r>
          </w:p>
          <w:p w14:paraId="5237DA95" w14:textId="77777777" w:rsidR="0091778E" w:rsidRPr="0091778E" w:rsidRDefault="004E21FA" w:rsidP="0091778E">
            <w:pPr>
              <w:rPr>
                <w:rFonts w:ascii="Arial" w:hAnsi="Arial" w:cs="Arial"/>
                <w:sz w:val="18"/>
                <w:szCs w:val="18"/>
              </w:rPr>
            </w:pPr>
            <w:hyperlink r:id="rId14" w:history="1">
              <w:r w:rsidR="0091778E" w:rsidRPr="0091778E">
                <w:rPr>
                  <w:rStyle w:val="Hyperlink"/>
                  <w:rFonts w:ascii="Arial" w:hAnsi="Arial" w:cs="Arial"/>
                  <w:sz w:val="18"/>
                  <w:szCs w:val="18"/>
                </w:rPr>
                <w:t>https://educationendowmentfoundation.org.uk/evidence-summaries/teaching-learning-toolkit/social-and-emotional-learning/</w:t>
              </w:r>
            </w:hyperlink>
            <w:r w:rsidR="0091778E" w:rsidRPr="0091778E">
              <w:rPr>
                <w:rFonts w:ascii="Arial" w:hAnsi="Arial" w:cs="Arial"/>
                <w:sz w:val="18"/>
                <w:szCs w:val="18"/>
              </w:rPr>
              <w:t xml:space="preserve"> </w:t>
            </w:r>
          </w:p>
          <w:p w14:paraId="43C968BC" w14:textId="77777777" w:rsidR="0091778E" w:rsidRPr="0091778E" w:rsidRDefault="0091778E" w:rsidP="0091778E">
            <w:pPr>
              <w:rPr>
                <w:rFonts w:ascii="Arial" w:hAnsi="Arial" w:cs="Arial"/>
                <w:sz w:val="18"/>
                <w:szCs w:val="18"/>
              </w:rPr>
            </w:pPr>
          </w:p>
        </w:tc>
      </w:tr>
      <w:tr w:rsidR="0091778E" w:rsidRPr="0091778E" w14:paraId="4A9081A7" w14:textId="77777777" w:rsidTr="0091778E">
        <w:trPr>
          <w:trHeight w:val="183"/>
        </w:trPr>
        <w:tc>
          <w:tcPr>
            <w:tcW w:w="3402" w:type="dxa"/>
            <w:vMerge/>
            <w:shd w:val="clear" w:color="auto" w:fill="auto"/>
          </w:tcPr>
          <w:p w14:paraId="130163CE" w14:textId="77777777" w:rsidR="0091778E" w:rsidRPr="0091778E" w:rsidRDefault="0091778E" w:rsidP="0091778E">
            <w:pPr>
              <w:rPr>
                <w:rFonts w:ascii="Arial" w:hAnsi="Arial" w:cs="Arial"/>
                <w:sz w:val="18"/>
                <w:szCs w:val="18"/>
              </w:rPr>
            </w:pPr>
          </w:p>
        </w:tc>
        <w:tc>
          <w:tcPr>
            <w:tcW w:w="11907" w:type="dxa"/>
            <w:shd w:val="clear" w:color="auto" w:fill="auto"/>
          </w:tcPr>
          <w:p w14:paraId="375E832B" w14:textId="77777777" w:rsidR="0091778E" w:rsidRPr="0091778E" w:rsidRDefault="0091778E" w:rsidP="0091778E">
            <w:pPr>
              <w:rPr>
                <w:rFonts w:ascii="Arial" w:hAnsi="Arial" w:cs="Arial"/>
                <w:sz w:val="18"/>
                <w:szCs w:val="18"/>
              </w:rPr>
            </w:pPr>
            <w:r w:rsidRPr="0091778E">
              <w:rPr>
                <w:rFonts w:ascii="Arial" w:hAnsi="Arial" w:cs="Arial"/>
                <w:sz w:val="18"/>
                <w:szCs w:val="18"/>
              </w:rPr>
              <w:t>The EEF Toolkit suggests that targeted interventions matched to specific students with particular needs or behavioural issues can be effective, especially for older pupils.</w:t>
            </w:r>
          </w:p>
          <w:p w14:paraId="3FDADE57" w14:textId="77777777" w:rsidR="0091778E" w:rsidRPr="0091778E" w:rsidRDefault="0091778E" w:rsidP="0091778E">
            <w:pPr>
              <w:rPr>
                <w:rFonts w:ascii="Arial" w:hAnsi="Arial" w:cs="Arial"/>
                <w:sz w:val="18"/>
                <w:szCs w:val="18"/>
              </w:rPr>
            </w:pPr>
          </w:p>
        </w:tc>
      </w:tr>
      <w:tr w:rsidR="0091778E" w:rsidRPr="0091778E" w14:paraId="0A6A25AC" w14:textId="77777777" w:rsidTr="0091778E">
        <w:trPr>
          <w:trHeight w:val="183"/>
        </w:trPr>
        <w:tc>
          <w:tcPr>
            <w:tcW w:w="3402" w:type="dxa"/>
            <w:vMerge w:val="restart"/>
            <w:shd w:val="clear" w:color="auto" w:fill="auto"/>
          </w:tcPr>
          <w:p w14:paraId="2A62BD40" w14:textId="77777777" w:rsidR="0091778E" w:rsidRPr="003774DF" w:rsidRDefault="0091778E" w:rsidP="0091778E">
            <w:pPr>
              <w:rPr>
                <w:rFonts w:ascii="Arial" w:hAnsi="Arial" w:cs="Arial"/>
                <w:b/>
                <w:sz w:val="18"/>
                <w:szCs w:val="18"/>
              </w:rPr>
            </w:pPr>
            <w:r w:rsidRPr="004E21FA">
              <w:rPr>
                <w:rFonts w:ascii="Arial" w:hAnsi="Arial" w:cs="Arial"/>
                <w:b/>
                <w:sz w:val="18"/>
                <w:szCs w:val="18"/>
                <w:highlight w:val="yellow"/>
              </w:rPr>
              <w:t>SEMH - Thrive</w:t>
            </w:r>
          </w:p>
        </w:tc>
        <w:tc>
          <w:tcPr>
            <w:tcW w:w="11907" w:type="dxa"/>
            <w:shd w:val="clear" w:color="auto" w:fill="auto"/>
          </w:tcPr>
          <w:p w14:paraId="1BDF1CBD" w14:textId="77777777" w:rsidR="0091778E" w:rsidRDefault="0091778E" w:rsidP="0091778E">
            <w:pPr>
              <w:rPr>
                <w:rFonts w:ascii="Arial" w:hAnsi="Arial" w:cs="Arial"/>
                <w:sz w:val="18"/>
                <w:szCs w:val="18"/>
              </w:rPr>
            </w:pPr>
            <w:r w:rsidRPr="0091778E">
              <w:rPr>
                <w:rFonts w:ascii="Arial" w:hAnsi="Arial" w:cs="Arial"/>
                <w:sz w:val="18"/>
                <w:szCs w:val="18"/>
              </w:rPr>
              <w:t xml:space="preserve">The EEF Toolkit suggests that targeted interventions matched to specific students with particular needs or behavioural issues can be effective, especially for older pupils. The Thrive approach has been researched and evidenced to make a positive impact. For more information see; </w:t>
            </w:r>
            <w:hyperlink r:id="rId15" w:history="1">
              <w:r w:rsidRPr="0091778E">
                <w:rPr>
                  <w:rStyle w:val="Hyperlink"/>
                  <w:rFonts w:ascii="Arial" w:hAnsi="Arial" w:cs="Arial"/>
                  <w:sz w:val="18"/>
                  <w:szCs w:val="18"/>
                </w:rPr>
                <w:t>https://www.thriveapproach.com/</w:t>
              </w:r>
            </w:hyperlink>
            <w:r w:rsidRPr="0091778E">
              <w:rPr>
                <w:rFonts w:ascii="Arial" w:hAnsi="Arial" w:cs="Arial"/>
                <w:sz w:val="18"/>
                <w:szCs w:val="18"/>
              </w:rPr>
              <w:t xml:space="preserve"> </w:t>
            </w:r>
          </w:p>
          <w:p w14:paraId="777CD0FB" w14:textId="3B0A7960" w:rsidR="00E8528C" w:rsidRPr="0091778E" w:rsidRDefault="00E8528C" w:rsidP="0091778E">
            <w:pPr>
              <w:rPr>
                <w:rFonts w:ascii="Arial" w:hAnsi="Arial" w:cs="Arial"/>
                <w:sz w:val="18"/>
                <w:szCs w:val="18"/>
              </w:rPr>
            </w:pPr>
          </w:p>
        </w:tc>
      </w:tr>
      <w:tr w:rsidR="0091778E" w:rsidRPr="0091778E" w14:paraId="5621C24B" w14:textId="77777777" w:rsidTr="0091778E">
        <w:trPr>
          <w:trHeight w:val="183"/>
        </w:trPr>
        <w:tc>
          <w:tcPr>
            <w:tcW w:w="3402" w:type="dxa"/>
            <w:vMerge/>
            <w:shd w:val="clear" w:color="auto" w:fill="auto"/>
          </w:tcPr>
          <w:p w14:paraId="2533EDF6" w14:textId="77777777" w:rsidR="0091778E" w:rsidRPr="0091778E" w:rsidRDefault="0091778E" w:rsidP="0091778E">
            <w:pPr>
              <w:rPr>
                <w:rFonts w:ascii="Arial" w:hAnsi="Arial" w:cs="Arial"/>
                <w:sz w:val="18"/>
                <w:szCs w:val="18"/>
              </w:rPr>
            </w:pPr>
          </w:p>
        </w:tc>
        <w:tc>
          <w:tcPr>
            <w:tcW w:w="11907" w:type="dxa"/>
            <w:shd w:val="clear" w:color="auto" w:fill="auto"/>
          </w:tcPr>
          <w:p w14:paraId="543CABDD" w14:textId="77777777" w:rsidR="0091778E" w:rsidRPr="0091778E" w:rsidRDefault="0091778E" w:rsidP="0091778E">
            <w:pPr>
              <w:rPr>
                <w:rFonts w:ascii="Arial" w:hAnsi="Arial" w:cs="Arial"/>
                <w:sz w:val="18"/>
                <w:szCs w:val="18"/>
              </w:rPr>
            </w:pPr>
            <w:r w:rsidRPr="0091778E">
              <w:rPr>
                <w:rFonts w:ascii="Arial" w:hAnsi="Arial" w:cs="Arial"/>
                <w:sz w:val="18"/>
                <w:szCs w:val="18"/>
              </w:rPr>
              <w:t>This approach is in line with research that demonstrates that Social and Emotional Learning interventions have an identifiable and significant impact on attitudes to learning, social relationships in school, and attainment itself</w:t>
            </w:r>
          </w:p>
          <w:p w14:paraId="35D8037C" w14:textId="77777777" w:rsidR="0091778E" w:rsidRDefault="004E21FA" w:rsidP="0091778E">
            <w:pPr>
              <w:rPr>
                <w:rFonts w:ascii="Arial" w:hAnsi="Arial" w:cs="Arial"/>
                <w:sz w:val="18"/>
                <w:szCs w:val="18"/>
              </w:rPr>
            </w:pPr>
            <w:hyperlink r:id="rId16" w:history="1">
              <w:r w:rsidR="0091778E" w:rsidRPr="0091778E">
                <w:rPr>
                  <w:rStyle w:val="Hyperlink"/>
                  <w:rFonts w:ascii="Arial" w:hAnsi="Arial" w:cs="Arial"/>
                  <w:sz w:val="18"/>
                  <w:szCs w:val="18"/>
                </w:rPr>
                <w:t>https://educationendowmentfoundation.org.uk/evidence-summaries/teaching-learning-toolkit/social-and-emotional-learning/</w:t>
              </w:r>
            </w:hyperlink>
            <w:r w:rsidR="0091778E" w:rsidRPr="0091778E">
              <w:rPr>
                <w:rFonts w:ascii="Arial" w:hAnsi="Arial" w:cs="Arial"/>
                <w:sz w:val="18"/>
                <w:szCs w:val="18"/>
              </w:rPr>
              <w:t xml:space="preserve"> </w:t>
            </w:r>
          </w:p>
          <w:p w14:paraId="546F8A84" w14:textId="28E6B5C5" w:rsidR="00E8528C" w:rsidRPr="0091778E" w:rsidRDefault="00E8528C" w:rsidP="0091778E">
            <w:pPr>
              <w:rPr>
                <w:rFonts w:ascii="Arial" w:hAnsi="Arial" w:cs="Arial"/>
                <w:sz w:val="18"/>
                <w:szCs w:val="18"/>
              </w:rPr>
            </w:pPr>
          </w:p>
        </w:tc>
      </w:tr>
      <w:tr w:rsidR="0091778E" w:rsidRPr="0091778E" w14:paraId="62043D7C" w14:textId="77777777" w:rsidTr="0091778E">
        <w:trPr>
          <w:trHeight w:val="183"/>
        </w:trPr>
        <w:tc>
          <w:tcPr>
            <w:tcW w:w="3402" w:type="dxa"/>
            <w:shd w:val="clear" w:color="auto" w:fill="auto"/>
          </w:tcPr>
          <w:p w14:paraId="630C13FB" w14:textId="77777777" w:rsidR="0091778E" w:rsidRPr="003774DF" w:rsidRDefault="0091778E" w:rsidP="0091778E">
            <w:pPr>
              <w:rPr>
                <w:rFonts w:ascii="Arial" w:hAnsi="Arial" w:cs="Arial"/>
                <w:b/>
                <w:sz w:val="18"/>
                <w:szCs w:val="18"/>
              </w:rPr>
            </w:pPr>
            <w:r w:rsidRPr="004E21FA">
              <w:rPr>
                <w:rFonts w:ascii="Arial" w:hAnsi="Arial" w:cs="Arial"/>
                <w:b/>
                <w:sz w:val="18"/>
                <w:szCs w:val="18"/>
                <w:highlight w:val="yellow"/>
              </w:rPr>
              <w:t>Music / Singing</w:t>
            </w:r>
          </w:p>
        </w:tc>
        <w:tc>
          <w:tcPr>
            <w:tcW w:w="11907" w:type="dxa"/>
            <w:shd w:val="clear" w:color="auto" w:fill="auto"/>
          </w:tcPr>
          <w:p w14:paraId="61675F98" w14:textId="77777777" w:rsidR="0091778E" w:rsidRPr="0091778E" w:rsidRDefault="0091778E" w:rsidP="0091778E">
            <w:pPr>
              <w:rPr>
                <w:rFonts w:ascii="Arial" w:hAnsi="Arial" w:cs="Arial"/>
                <w:sz w:val="18"/>
                <w:szCs w:val="18"/>
                <w:u w:val="single"/>
              </w:rPr>
            </w:pPr>
            <w:r w:rsidRPr="0091778E">
              <w:rPr>
                <w:rFonts w:ascii="Arial" w:hAnsi="Arial" w:cs="Arial"/>
                <w:sz w:val="18"/>
                <w:szCs w:val="18"/>
              </w:rPr>
              <w:t xml:space="preserve">Research led by Dr Nina Kraus at </w:t>
            </w:r>
            <w:proofErr w:type="spellStart"/>
            <w:r w:rsidRPr="0091778E">
              <w:rPr>
                <w:rFonts w:ascii="Arial" w:hAnsi="Arial" w:cs="Arial"/>
                <w:sz w:val="18"/>
                <w:szCs w:val="18"/>
              </w:rPr>
              <w:t>Northwestern</w:t>
            </w:r>
            <w:proofErr w:type="spellEnd"/>
            <w:r w:rsidRPr="0091778E">
              <w:rPr>
                <w:rFonts w:ascii="Arial" w:hAnsi="Arial" w:cs="Arial"/>
                <w:sz w:val="18"/>
                <w:szCs w:val="18"/>
              </w:rPr>
              <w:t xml:space="preserve"> University found that learning to sing or play a musical instrument can help disadvantaged children improve their reading skills. </w:t>
            </w:r>
            <w:hyperlink r:id="rId17" w:history="1">
              <w:r w:rsidRPr="0091778E">
                <w:rPr>
                  <w:rStyle w:val="Hyperlink"/>
                  <w:rFonts w:ascii="Arial" w:hAnsi="Arial" w:cs="Arial"/>
                  <w:sz w:val="18"/>
                  <w:szCs w:val="18"/>
                </w:rPr>
                <w:t>http://www.bbc.co.uk/news/health-28703013</w:t>
              </w:r>
            </w:hyperlink>
          </w:p>
          <w:p w14:paraId="55CB3B22" w14:textId="77777777" w:rsidR="0091778E" w:rsidRPr="0091778E" w:rsidRDefault="0091778E" w:rsidP="0091778E">
            <w:pPr>
              <w:rPr>
                <w:rFonts w:ascii="Arial" w:hAnsi="Arial" w:cs="Arial"/>
                <w:sz w:val="18"/>
                <w:szCs w:val="18"/>
                <w:u w:val="single"/>
              </w:rPr>
            </w:pPr>
          </w:p>
          <w:p w14:paraId="70A87D49" w14:textId="77777777" w:rsidR="0091778E" w:rsidRPr="0091778E" w:rsidRDefault="0091778E" w:rsidP="0091778E">
            <w:pPr>
              <w:rPr>
                <w:rFonts w:ascii="Arial" w:hAnsi="Arial" w:cs="Arial"/>
                <w:i/>
                <w:sz w:val="18"/>
                <w:szCs w:val="18"/>
              </w:rPr>
            </w:pPr>
            <w:r w:rsidRPr="0091778E">
              <w:rPr>
                <w:rFonts w:ascii="Arial" w:hAnsi="Arial" w:cs="Arial"/>
                <w:sz w:val="18"/>
                <w:szCs w:val="18"/>
                <w:u w:val="single"/>
              </w:rPr>
              <w:t xml:space="preserve">Singing - </w:t>
            </w:r>
            <w:r w:rsidRPr="0091778E">
              <w:rPr>
                <w:rFonts w:ascii="Arial" w:hAnsi="Arial" w:cs="Arial"/>
                <w:sz w:val="18"/>
                <w:szCs w:val="18"/>
              </w:rPr>
              <w:t xml:space="preserve"> Sally Goddard Blythe, a consultant in neuro-developmental education and director of the Institute for Neuro-Physiological Psychology supports the link between singing and developments in language skills in her book, </w:t>
            </w:r>
            <w:r w:rsidRPr="0091778E">
              <w:rPr>
                <w:rFonts w:ascii="Arial" w:hAnsi="Arial" w:cs="Arial"/>
                <w:i/>
                <w:sz w:val="18"/>
                <w:szCs w:val="18"/>
              </w:rPr>
              <w:t>The Genius of Natural Childhood.</w:t>
            </w:r>
          </w:p>
          <w:p w14:paraId="0ADB55FB" w14:textId="77777777" w:rsidR="0091778E" w:rsidRPr="0091778E" w:rsidRDefault="0091778E" w:rsidP="0091778E">
            <w:pPr>
              <w:rPr>
                <w:rFonts w:ascii="Arial" w:hAnsi="Arial" w:cs="Arial"/>
                <w:sz w:val="18"/>
                <w:szCs w:val="18"/>
                <w:u w:val="single"/>
              </w:rPr>
            </w:pPr>
          </w:p>
          <w:p w14:paraId="1B7E266C" w14:textId="77777777" w:rsidR="0091778E" w:rsidRPr="0091778E" w:rsidRDefault="004E21FA" w:rsidP="0091778E">
            <w:pPr>
              <w:rPr>
                <w:rFonts w:ascii="Arial" w:hAnsi="Arial" w:cs="Arial"/>
                <w:sz w:val="18"/>
                <w:szCs w:val="18"/>
                <w:u w:val="single"/>
              </w:rPr>
            </w:pPr>
            <w:hyperlink r:id="rId18" w:history="1">
              <w:r w:rsidR="0091778E" w:rsidRPr="0091778E">
                <w:rPr>
                  <w:rStyle w:val="Hyperlink"/>
                  <w:rFonts w:ascii="Arial" w:hAnsi="Arial" w:cs="Arial"/>
                  <w:sz w:val="18"/>
                  <w:szCs w:val="18"/>
                </w:rPr>
                <w:t>https://www.gov.uk/government/publications/the-pupil-premium-how-schools-are-spending-the-funding-successfully</w:t>
              </w:r>
            </w:hyperlink>
            <w:r w:rsidR="0091778E" w:rsidRPr="0091778E">
              <w:rPr>
                <w:rFonts w:ascii="Arial" w:hAnsi="Arial" w:cs="Arial"/>
                <w:sz w:val="18"/>
                <w:szCs w:val="18"/>
              </w:rPr>
              <w:t xml:space="preserve"> - In line with the research, providing pupils with access to a full range of educational experiences can decrease outcome gaps.</w:t>
            </w:r>
          </w:p>
          <w:p w14:paraId="536843F7" w14:textId="595E2F5D" w:rsidR="0091778E" w:rsidRPr="0091778E" w:rsidRDefault="0091778E" w:rsidP="0091778E">
            <w:pPr>
              <w:rPr>
                <w:rFonts w:ascii="Arial" w:hAnsi="Arial" w:cs="Arial"/>
                <w:sz w:val="18"/>
                <w:szCs w:val="18"/>
              </w:rPr>
            </w:pPr>
          </w:p>
        </w:tc>
      </w:tr>
      <w:tr w:rsidR="00587D1B" w:rsidRPr="0091778E" w14:paraId="76EE14CD" w14:textId="77777777" w:rsidTr="0091778E">
        <w:trPr>
          <w:trHeight w:val="183"/>
        </w:trPr>
        <w:tc>
          <w:tcPr>
            <w:tcW w:w="3402" w:type="dxa"/>
            <w:vMerge w:val="restart"/>
            <w:shd w:val="clear" w:color="auto" w:fill="auto"/>
          </w:tcPr>
          <w:p w14:paraId="57B7A752" w14:textId="335D2227" w:rsidR="00587D1B" w:rsidRPr="00BA72C6" w:rsidRDefault="00587D1B" w:rsidP="0091778E">
            <w:pPr>
              <w:rPr>
                <w:rFonts w:ascii="Arial" w:hAnsi="Arial" w:cs="Arial"/>
                <w:sz w:val="18"/>
                <w:szCs w:val="18"/>
                <w:highlight w:val="yellow"/>
              </w:rPr>
            </w:pPr>
            <w:r w:rsidRPr="00BA72C6">
              <w:rPr>
                <w:rFonts w:ascii="Arial" w:hAnsi="Arial" w:cs="Arial"/>
                <w:sz w:val="18"/>
                <w:szCs w:val="18"/>
                <w:highlight w:val="yellow"/>
              </w:rPr>
              <w:t xml:space="preserve">Access to </w:t>
            </w:r>
            <w:r w:rsidRPr="00BA72C6">
              <w:rPr>
                <w:rFonts w:ascii="Arial" w:hAnsi="Arial" w:cs="Arial"/>
                <w:b/>
                <w:sz w:val="18"/>
                <w:szCs w:val="18"/>
                <w:highlight w:val="yellow"/>
              </w:rPr>
              <w:t>enrichment activities</w:t>
            </w:r>
            <w:r w:rsidRPr="00BA72C6">
              <w:rPr>
                <w:rFonts w:ascii="Arial" w:hAnsi="Arial" w:cs="Arial"/>
                <w:sz w:val="18"/>
                <w:szCs w:val="18"/>
                <w:highlight w:val="yellow"/>
              </w:rPr>
              <w:t>/ residential visits</w:t>
            </w:r>
          </w:p>
          <w:p w14:paraId="16F3F41C" w14:textId="66A77443" w:rsidR="00587D1B" w:rsidRPr="0091778E" w:rsidRDefault="00587D1B" w:rsidP="0091778E">
            <w:pPr>
              <w:rPr>
                <w:rFonts w:ascii="Arial" w:hAnsi="Arial" w:cs="Arial"/>
                <w:sz w:val="18"/>
                <w:szCs w:val="18"/>
              </w:rPr>
            </w:pPr>
            <w:proofErr w:type="spellStart"/>
            <w:r w:rsidRPr="00BA72C6">
              <w:rPr>
                <w:rFonts w:ascii="Arial" w:hAnsi="Arial" w:cs="Arial"/>
                <w:sz w:val="18"/>
                <w:szCs w:val="18"/>
                <w:highlight w:val="yellow"/>
              </w:rPr>
              <w:t>inc</w:t>
            </w:r>
            <w:proofErr w:type="spellEnd"/>
            <w:r w:rsidRPr="00BA72C6">
              <w:rPr>
                <w:rFonts w:ascii="Arial" w:hAnsi="Arial" w:cs="Arial"/>
                <w:sz w:val="18"/>
                <w:szCs w:val="18"/>
                <w:highlight w:val="yellow"/>
              </w:rPr>
              <w:t xml:space="preserve">: Outdoor Adventure Learning </w:t>
            </w:r>
            <w:proofErr w:type="spellStart"/>
            <w:r w:rsidRPr="00BA72C6">
              <w:rPr>
                <w:rFonts w:ascii="Arial" w:hAnsi="Arial" w:cs="Arial"/>
                <w:i/>
                <w:sz w:val="18"/>
                <w:szCs w:val="18"/>
                <w:highlight w:val="yellow"/>
              </w:rPr>
              <w:t>eg</w:t>
            </w:r>
            <w:proofErr w:type="spellEnd"/>
            <w:r w:rsidRPr="00BA72C6">
              <w:rPr>
                <w:rFonts w:ascii="Arial" w:hAnsi="Arial" w:cs="Arial"/>
                <w:i/>
                <w:sz w:val="18"/>
                <w:szCs w:val="18"/>
                <w:highlight w:val="yellow"/>
              </w:rPr>
              <w:t>. climbing or mountaineering; survival, ropes or assault courses; or outdoor sports, such as orienteering, sailing and canoeing.</w:t>
            </w:r>
          </w:p>
          <w:p w14:paraId="3B9AD67F" w14:textId="77777777" w:rsidR="00587D1B" w:rsidRPr="0091778E" w:rsidRDefault="00587D1B" w:rsidP="0091778E">
            <w:pPr>
              <w:rPr>
                <w:rFonts w:ascii="Arial" w:hAnsi="Arial" w:cs="Arial"/>
                <w:sz w:val="18"/>
                <w:szCs w:val="18"/>
              </w:rPr>
            </w:pPr>
          </w:p>
        </w:tc>
        <w:tc>
          <w:tcPr>
            <w:tcW w:w="11907" w:type="dxa"/>
            <w:shd w:val="clear" w:color="auto" w:fill="auto"/>
          </w:tcPr>
          <w:p w14:paraId="02590805" w14:textId="77777777" w:rsidR="00587D1B" w:rsidRDefault="004E21FA" w:rsidP="0091778E">
            <w:pPr>
              <w:rPr>
                <w:rFonts w:ascii="Arial" w:hAnsi="Arial" w:cs="Arial"/>
                <w:sz w:val="18"/>
                <w:szCs w:val="18"/>
              </w:rPr>
            </w:pPr>
            <w:hyperlink r:id="rId19" w:history="1">
              <w:r w:rsidR="00587D1B" w:rsidRPr="0091778E">
                <w:rPr>
                  <w:rStyle w:val="Hyperlink"/>
                  <w:rFonts w:ascii="Arial" w:hAnsi="Arial" w:cs="Arial"/>
                  <w:sz w:val="18"/>
                  <w:szCs w:val="18"/>
                </w:rPr>
                <w:t>https://www.gov.uk/government/publications/the-pupil-premium-how-schools-are-spending-the-funding-successfully</w:t>
              </w:r>
            </w:hyperlink>
            <w:r w:rsidR="00587D1B" w:rsidRPr="0091778E">
              <w:rPr>
                <w:rFonts w:ascii="Arial" w:hAnsi="Arial" w:cs="Arial"/>
                <w:sz w:val="18"/>
                <w:szCs w:val="18"/>
              </w:rPr>
              <w:t xml:space="preserve"> - In line with the research, providing pupils with access to a full range of educational experiences can decrease outcome gaps.</w:t>
            </w:r>
          </w:p>
          <w:p w14:paraId="3E239A95" w14:textId="5FEF81F2" w:rsidR="00587D1B" w:rsidRPr="0091778E" w:rsidRDefault="00587D1B" w:rsidP="0091778E">
            <w:pPr>
              <w:rPr>
                <w:rFonts w:ascii="Arial" w:hAnsi="Arial" w:cs="Arial"/>
                <w:sz w:val="18"/>
                <w:szCs w:val="18"/>
              </w:rPr>
            </w:pPr>
          </w:p>
        </w:tc>
      </w:tr>
      <w:tr w:rsidR="00587D1B" w:rsidRPr="0091778E" w14:paraId="392AA087" w14:textId="77777777" w:rsidTr="0091778E">
        <w:trPr>
          <w:trHeight w:val="183"/>
        </w:trPr>
        <w:tc>
          <w:tcPr>
            <w:tcW w:w="3402" w:type="dxa"/>
            <w:vMerge/>
            <w:shd w:val="clear" w:color="auto" w:fill="auto"/>
          </w:tcPr>
          <w:p w14:paraId="10D1BF0F" w14:textId="77777777" w:rsidR="00587D1B" w:rsidRPr="0091778E" w:rsidRDefault="00587D1B" w:rsidP="0091778E">
            <w:pPr>
              <w:rPr>
                <w:rFonts w:ascii="Arial" w:hAnsi="Arial" w:cs="Arial"/>
                <w:sz w:val="18"/>
                <w:szCs w:val="18"/>
              </w:rPr>
            </w:pPr>
          </w:p>
        </w:tc>
        <w:tc>
          <w:tcPr>
            <w:tcW w:w="11907" w:type="dxa"/>
            <w:shd w:val="clear" w:color="auto" w:fill="auto"/>
          </w:tcPr>
          <w:p w14:paraId="599B62D0" w14:textId="7AA7D4B6" w:rsidR="00587D1B" w:rsidRPr="00587D1B" w:rsidRDefault="00587D1B" w:rsidP="0091778E">
            <w:pPr>
              <w:rPr>
                <w:rFonts w:ascii="Arial" w:hAnsi="Arial" w:cs="Arial"/>
                <w:sz w:val="18"/>
                <w:szCs w:val="18"/>
              </w:rPr>
            </w:pPr>
            <w:r w:rsidRPr="00587D1B">
              <w:rPr>
                <w:rFonts w:ascii="Arial" w:hAnsi="Arial" w:cs="Arial"/>
                <w:b/>
                <w:sz w:val="18"/>
                <w:szCs w:val="18"/>
              </w:rPr>
              <w:t xml:space="preserve">Outdoor Adventure Learning - </w:t>
            </w:r>
            <w:hyperlink r:id="rId20" w:history="1">
              <w:r w:rsidRPr="00CC564D">
                <w:rPr>
                  <w:rStyle w:val="Hyperlink"/>
                  <w:rFonts w:ascii="Arial" w:hAnsi="Arial" w:cs="Arial"/>
                  <w:sz w:val="18"/>
                  <w:szCs w:val="18"/>
                </w:rPr>
                <w:t>https://educationendowmentfoundation.org.uk/evidence-summaries/teaching-learning-toolkit/outdoor-adventure-learning/</w:t>
              </w:r>
            </w:hyperlink>
            <w:r>
              <w:rPr>
                <w:rFonts w:ascii="Arial" w:hAnsi="Arial" w:cs="Arial"/>
                <w:sz w:val="18"/>
                <w:szCs w:val="18"/>
              </w:rPr>
              <w:t xml:space="preserve"> </w:t>
            </w:r>
            <w:r w:rsidRPr="00587D1B">
              <w:rPr>
                <w:rFonts w:ascii="Arial" w:hAnsi="Arial" w:cs="Arial"/>
                <w:sz w:val="18"/>
                <w:szCs w:val="18"/>
              </w:rPr>
              <w:t>Overall, studies of adventure learning interventions consistently show positive benefits on academic learning. On average, pupils who participate in adventure learning interventions make approximately four additional months’ progress over the course of a year. There is also evidence of an impact on non-cognitive outcomes such as self-confidence</w:t>
            </w:r>
          </w:p>
        </w:tc>
      </w:tr>
      <w:tr w:rsidR="0091778E" w:rsidRPr="0091778E" w14:paraId="69A10CBD" w14:textId="77777777" w:rsidTr="0091778E">
        <w:trPr>
          <w:trHeight w:val="183"/>
        </w:trPr>
        <w:tc>
          <w:tcPr>
            <w:tcW w:w="3402" w:type="dxa"/>
            <w:shd w:val="clear" w:color="auto" w:fill="auto"/>
          </w:tcPr>
          <w:p w14:paraId="26A0F209" w14:textId="77777777" w:rsidR="0091778E" w:rsidRPr="0091778E" w:rsidRDefault="0091778E" w:rsidP="0091778E">
            <w:pPr>
              <w:rPr>
                <w:rFonts w:ascii="Arial" w:hAnsi="Arial" w:cs="Arial"/>
                <w:sz w:val="18"/>
                <w:szCs w:val="18"/>
              </w:rPr>
            </w:pPr>
            <w:r w:rsidRPr="0091778E">
              <w:rPr>
                <w:rFonts w:ascii="Arial" w:hAnsi="Arial" w:cs="Arial"/>
                <w:sz w:val="18"/>
                <w:szCs w:val="18"/>
              </w:rPr>
              <w:t xml:space="preserve">Additional </w:t>
            </w:r>
            <w:r w:rsidRPr="003774DF">
              <w:rPr>
                <w:rFonts w:ascii="Arial" w:hAnsi="Arial" w:cs="Arial"/>
                <w:b/>
                <w:sz w:val="18"/>
                <w:szCs w:val="18"/>
              </w:rPr>
              <w:t xml:space="preserve">Sport </w:t>
            </w:r>
          </w:p>
        </w:tc>
        <w:tc>
          <w:tcPr>
            <w:tcW w:w="11907" w:type="dxa"/>
            <w:shd w:val="clear" w:color="auto" w:fill="auto"/>
          </w:tcPr>
          <w:p w14:paraId="07721CF6" w14:textId="77777777" w:rsidR="0091778E" w:rsidRPr="0091778E" w:rsidRDefault="0091778E" w:rsidP="0091778E">
            <w:pPr>
              <w:rPr>
                <w:rFonts w:ascii="Arial" w:hAnsi="Arial" w:cs="Arial"/>
                <w:sz w:val="18"/>
                <w:szCs w:val="18"/>
              </w:rPr>
            </w:pPr>
            <w:r w:rsidRPr="0091778E">
              <w:rPr>
                <w:rFonts w:ascii="Arial" w:hAnsi="Arial" w:cs="Arial"/>
                <w:sz w:val="18"/>
                <w:szCs w:val="18"/>
              </w:rPr>
              <w:t>Sport boosts confidence - the benefit of Sport on wider learning is outlined at;</w:t>
            </w:r>
          </w:p>
          <w:p w14:paraId="3FCDCD1A" w14:textId="77777777" w:rsidR="0091778E" w:rsidRPr="0091778E" w:rsidRDefault="004E21FA" w:rsidP="0091778E">
            <w:pPr>
              <w:rPr>
                <w:rFonts w:ascii="Arial" w:hAnsi="Arial" w:cs="Arial"/>
                <w:sz w:val="18"/>
                <w:szCs w:val="18"/>
                <w:u w:val="single"/>
              </w:rPr>
            </w:pPr>
            <w:hyperlink r:id="rId21" w:history="1">
              <w:r w:rsidR="0091778E" w:rsidRPr="0091778E">
                <w:rPr>
                  <w:rStyle w:val="Hyperlink"/>
                  <w:rFonts w:ascii="Arial" w:hAnsi="Arial" w:cs="Arial"/>
                  <w:sz w:val="18"/>
                  <w:szCs w:val="18"/>
                </w:rPr>
                <w:t>https://www.sportengland.org/research/benefits-of-sport/</w:t>
              </w:r>
            </w:hyperlink>
          </w:p>
          <w:p w14:paraId="55424013" w14:textId="77777777" w:rsidR="0091778E" w:rsidRPr="0091778E" w:rsidRDefault="0091778E" w:rsidP="0091778E">
            <w:pPr>
              <w:rPr>
                <w:rFonts w:ascii="Arial" w:hAnsi="Arial" w:cs="Arial"/>
                <w:sz w:val="18"/>
                <w:szCs w:val="18"/>
              </w:rPr>
            </w:pPr>
          </w:p>
        </w:tc>
      </w:tr>
      <w:tr w:rsidR="0091778E" w:rsidRPr="0091778E" w14:paraId="150D39C4" w14:textId="77777777" w:rsidTr="0091778E">
        <w:trPr>
          <w:trHeight w:val="183"/>
        </w:trPr>
        <w:tc>
          <w:tcPr>
            <w:tcW w:w="3402" w:type="dxa"/>
            <w:shd w:val="clear" w:color="auto" w:fill="auto"/>
          </w:tcPr>
          <w:p w14:paraId="3760E770" w14:textId="77777777" w:rsidR="0091778E" w:rsidRPr="003774DF" w:rsidRDefault="0091778E" w:rsidP="0091778E">
            <w:pPr>
              <w:rPr>
                <w:rFonts w:ascii="Arial" w:hAnsi="Arial" w:cs="Arial"/>
                <w:b/>
                <w:sz w:val="18"/>
                <w:szCs w:val="18"/>
              </w:rPr>
            </w:pPr>
            <w:r w:rsidRPr="00BA72C6">
              <w:rPr>
                <w:rFonts w:ascii="Arial" w:hAnsi="Arial" w:cs="Arial"/>
                <w:b/>
                <w:sz w:val="18"/>
                <w:szCs w:val="18"/>
                <w:highlight w:val="yellow"/>
              </w:rPr>
              <w:t>Parental Engagement</w:t>
            </w:r>
          </w:p>
        </w:tc>
        <w:tc>
          <w:tcPr>
            <w:tcW w:w="11907" w:type="dxa"/>
            <w:shd w:val="clear" w:color="auto" w:fill="auto"/>
          </w:tcPr>
          <w:p w14:paraId="1B9B9266" w14:textId="77777777" w:rsidR="0091778E" w:rsidRPr="0091778E" w:rsidRDefault="0091778E" w:rsidP="0091778E">
            <w:pPr>
              <w:rPr>
                <w:rFonts w:ascii="Arial" w:hAnsi="Arial" w:cs="Arial"/>
                <w:sz w:val="18"/>
                <w:szCs w:val="18"/>
                <w:u w:val="single"/>
              </w:rPr>
            </w:pPr>
            <w:r w:rsidRPr="0091778E">
              <w:rPr>
                <w:rFonts w:ascii="Arial" w:hAnsi="Arial" w:cs="Arial"/>
                <w:sz w:val="18"/>
                <w:szCs w:val="18"/>
              </w:rPr>
              <w:t xml:space="preserve">The Education Endowment Foundation has researched the positive benefits of improving parental engagement on learning </w:t>
            </w:r>
            <w:hyperlink r:id="rId22" w:history="1">
              <w:r w:rsidRPr="0091778E">
                <w:rPr>
                  <w:rStyle w:val="Hyperlink"/>
                  <w:rFonts w:ascii="Arial" w:hAnsi="Arial" w:cs="Arial"/>
                  <w:sz w:val="18"/>
                  <w:szCs w:val="18"/>
                </w:rPr>
                <w:t>https://educationendowmentfoundation.org.uk/school-themes/parental-engagement/</w:t>
              </w:r>
            </w:hyperlink>
          </w:p>
          <w:p w14:paraId="3A4C1D4F" w14:textId="77777777" w:rsidR="0091778E" w:rsidRPr="0091778E" w:rsidRDefault="0091778E" w:rsidP="0091778E">
            <w:pPr>
              <w:rPr>
                <w:rFonts w:ascii="Arial" w:hAnsi="Arial" w:cs="Arial"/>
                <w:sz w:val="18"/>
                <w:szCs w:val="18"/>
              </w:rPr>
            </w:pPr>
          </w:p>
        </w:tc>
      </w:tr>
      <w:tr w:rsidR="00F46465" w:rsidRPr="0091778E" w14:paraId="736F7617" w14:textId="77777777" w:rsidTr="0091778E">
        <w:trPr>
          <w:trHeight w:val="183"/>
        </w:trPr>
        <w:tc>
          <w:tcPr>
            <w:tcW w:w="3402" w:type="dxa"/>
            <w:shd w:val="clear" w:color="auto" w:fill="auto"/>
          </w:tcPr>
          <w:p w14:paraId="4275DA92" w14:textId="7DC43EA0" w:rsidR="00F46465" w:rsidRPr="003774DF" w:rsidRDefault="000016F4" w:rsidP="0091778E">
            <w:pPr>
              <w:rPr>
                <w:rFonts w:ascii="Arial" w:hAnsi="Arial" w:cs="Arial"/>
                <w:b/>
                <w:sz w:val="18"/>
                <w:szCs w:val="18"/>
              </w:rPr>
            </w:pPr>
            <w:r w:rsidRPr="00BA72C6">
              <w:rPr>
                <w:rFonts w:ascii="Arial" w:hAnsi="Arial" w:cs="Arial"/>
                <w:b/>
                <w:sz w:val="18"/>
                <w:szCs w:val="18"/>
                <w:highlight w:val="yellow"/>
              </w:rPr>
              <w:t>Maths -</w:t>
            </w:r>
            <w:r w:rsidR="00F46465" w:rsidRPr="00BA72C6">
              <w:rPr>
                <w:rFonts w:ascii="Arial" w:hAnsi="Arial" w:cs="Arial"/>
                <w:b/>
                <w:sz w:val="18"/>
                <w:szCs w:val="18"/>
                <w:highlight w:val="yellow"/>
              </w:rPr>
              <w:t xml:space="preserve"> </w:t>
            </w:r>
            <w:r w:rsidRPr="00BA72C6">
              <w:rPr>
                <w:rFonts w:ascii="Arial" w:hAnsi="Arial" w:cs="Arial"/>
                <w:b/>
                <w:sz w:val="18"/>
                <w:szCs w:val="18"/>
                <w:highlight w:val="yellow"/>
              </w:rPr>
              <w:t>physical resources</w:t>
            </w:r>
          </w:p>
        </w:tc>
        <w:tc>
          <w:tcPr>
            <w:tcW w:w="11907" w:type="dxa"/>
            <w:shd w:val="clear" w:color="auto" w:fill="auto"/>
          </w:tcPr>
          <w:p w14:paraId="2D2BB54F" w14:textId="77777777" w:rsidR="00F46465" w:rsidRDefault="000016F4" w:rsidP="0091778E">
            <w:pPr>
              <w:rPr>
                <w:rFonts w:ascii="Arial" w:hAnsi="Arial" w:cs="Arial"/>
                <w:sz w:val="18"/>
                <w:szCs w:val="18"/>
              </w:rPr>
            </w:pPr>
            <w:r>
              <w:rPr>
                <w:rFonts w:ascii="Arial" w:hAnsi="Arial" w:cs="Arial"/>
                <w:sz w:val="18"/>
                <w:szCs w:val="18"/>
              </w:rPr>
              <w:t>The EEF report, Improving Mathematics in KS2 and 3 report states that</w:t>
            </w:r>
            <w:r>
              <w:t xml:space="preserve"> </w:t>
            </w:r>
            <w:r>
              <w:rPr>
                <w:rFonts w:ascii="Arial" w:hAnsi="Arial" w:cs="Arial"/>
                <w:sz w:val="18"/>
                <w:szCs w:val="18"/>
              </w:rPr>
              <w:t>m</w:t>
            </w:r>
            <w:r w:rsidRPr="000016F4">
              <w:rPr>
                <w:rFonts w:ascii="Arial" w:hAnsi="Arial" w:cs="Arial"/>
                <w:sz w:val="18"/>
                <w:szCs w:val="18"/>
              </w:rPr>
              <w:t>anipulatives (physical objects used to teach maths) and representations (such as number lines and graphs) can help pupils engage with mathematical ideas</w:t>
            </w:r>
            <w:r>
              <w:rPr>
                <w:rFonts w:ascii="Arial" w:hAnsi="Arial" w:cs="Arial"/>
                <w:sz w:val="18"/>
                <w:szCs w:val="18"/>
              </w:rPr>
              <w:t xml:space="preserve"> </w:t>
            </w:r>
            <w:r>
              <w:t xml:space="preserve"> </w:t>
            </w:r>
            <w:hyperlink r:id="rId23" w:history="1">
              <w:r w:rsidRPr="00CD44BE">
                <w:rPr>
                  <w:rStyle w:val="Hyperlink"/>
                  <w:rFonts w:ascii="Arial" w:hAnsi="Arial" w:cs="Arial"/>
                  <w:sz w:val="18"/>
                  <w:szCs w:val="18"/>
                </w:rPr>
                <w:t>https://educationendowmentfoundation.org.uk/tools/guidance-reports/maths-ks-two-three/</w:t>
              </w:r>
            </w:hyperlink>
            <w:r>
              <w:rPr>
                <w:rFonts w:ascii="Arial" w:hAnsi="Arial" w:cs="Arial"/>
                <w:sz w:val="18"/>
                <w:szCs w:val="18"/>
              </w:rPr>
              <w:t xml:space="preserve"> </w:t>
            </w:r>
          </w:p>
          <w:p w14:paraId="3E4EE336" w14:textId="3AB7830F" w:rsidR="000016F4" w:rsidRDefault="000016F4" w:rsidP="0091778E"/>
        </w:tc>
      </w:tr>
      <w:tr w:rsidR="000016F4" w:rsidRPr="0091778E" w14:paraId="0B2DA9A1" w14:textId="77777777" w:rsidTr="0091778E">
        <w:trPr>
          <w:trHeight w:val="183"/>
        </w:trPr>
        <w:tc>
          <w:tcPr>
            <w:tcW w:w="3402" w:type="dxa"/>
            <w:shd w:val="clear" w:color="auto" w:fill="auto"/>
          </w:tcPr>
          <w:p w14:paraId="0A1F36F2" w14:textId="514D94A9" w:rsidR="000016F4" w:rsidRPr="003774DF" w:rsidRDefault="000016F4" w:rsidP="000016F4">
            <w:pPr>
              <w:rPr>
                <w:rFonts w:ascii="Arial" w:hAnsi="Arial" w:cs="Arial"/>
                <w:b/>
                <w:sz w:val="18"/>
                <w:szCs w:val="18"/>
              </w:rPr>
            </w:pPr>
            <w:r w:rsidRPr="00BA72C6">
              <w:rPr>
                <w:rFonts w:ascii="Arial" w:hAnsi="Arial" w:cs="Arial"/>
                <w:b/>
                <w:sz w:val="18"/>
                <w:szCs w:val="18"/>
                <w:highlight w:val="yellow"/>
              </w:rPr>
              <w:t xml:space="preserve">Reading - </w:t>
            </w:r>
            <w:r w:rsidRPr="00BA72C6">
              <w:rPr>
                <w:rFonts w:ascii="Arial" w:hAnsi="Arial" w:cs="Arial"/>
                <w:sz w:val="18"/>
                <w:szCs w:val="18"/>
                <w:highlight w:val="yellow"/>
              </w:rPr>
              <w:t>Phonics</w:t>
            </w:r>
          </w:p>
        </w:tc>
        <w:tc>
          <w:tcPr>
            <w:tcW w:w="11907" w:type="dxa"/>
            <w:shd w:val="clear" w:color="auto" w:fill="auto"/>
          </w:tcPr>
          <w:p w14:paraId="2E2ED6CB" w14:textId="77777777" w:rsidR="000016F4" w:rsidRPr="00A14A93" w:rsidRDefault="004E21FA" w:rsidP="000016F4">
            <w:pPr>
              <w:rPr>
                <w:rFonts w:ascii="Arial" w:hAnsi="Arial" w:cs="Arial"/>
                <w:sz w:val="18"/>
                <w:szCs w:val="18"/>
              </w:rPr>
            </w:pPr>
            <w:hyperlink r:id="rId24" w:history="1">
              <w:r w:rsidR="000016F4" w:rsidRPr="00A14A93">
                <w:rPr>
                  <w:rStyle w:val="Hyperlink"/>
                  <w:rFonts w:ascii="Arial" w:hAnsi="Arial" w:cs="Arial"/>
                  <w:sz w:val="18"/>
                  <w:szCs w:val="18"/>
                </w:rPr>
                <w:t>https://educationendowmentfoundation.org.uk/evidence-summaries/teaching-learning-toolkit/phonics/</w:t>
              </w:r>
            </w:hyperlink>
            <w:r w:rsidR="000016F4" w:rsidRPr="00A14A93">
              <w:rPr>
                <w:rFonts w:ascii="Arial" w:hAnsi="Arial" w:cs="Arial"/>
                <w:sz w:val="18"/>
                <w:szCs w:val="18"/>
              </w:rPr>
              <w:t xml:space="preserve"> Research shows that 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w:t>
            </w:r>
          </w:p>
          <w:p w14:paraId="6A8BAB0B" w14:textId="2A698C0F" w:rsidR="000016F4" w:rsidRPr="00A14A93" w:rsidRDefault="000016F4" w:rsidP="000016F4">
            <w:pPr>
              <w:rPr>
                <w:rFonts w:ascii="Arial" w:hAnsi="Arial" w:cs="Arial"/>
                <w:sz w:val="18"/>
                <w:szCs w:val="18"/>
              </w:rPr>
            </w:pPr>
          </w:p>
        </w:tc>
      </w:tr>
      <w:tr w:rsidR="000016F4" w:rsidRPr="00D42A93" w14:paraId="7EB2B388" w14:textId="77777777" w:rsidTr="0091778E">
        <w:trPr>
          <w:trHeight w:val="183"/>
        </w:trPr>
        <w:tc>
          <w:tcPr>
            <w:tcW w:w="3402" w:type="dxa"/>
            <w:shd w:val="clear" w:color="auto" w:fill="auto"/>
          </w:tcPr>
          <w:p w14:paraId="28ADED5F" w14:textId="77777777" w:rsidR="000016F4" w:rsidRPr="00D42A93" w:rsidRDefault="000016F4" w:rsidP="000016F4">
            <w:pPr>
              <w:rPr>
                <w:rFonts w:ascii="Arial" w:hAnsi="Arial" w:cs="Arial"/>
                <w:sz w:val="18"/>
                <w:szCs w:val="18"/>
              </w:rPr>
            </w:pPr>
            <w:r w:rsidRPr="00D42A93">
              <w:rPr>
                <w:rFonts w:ascii="Arial" w:hAnsi="Arial" w:cs="Arial"/>
                <w:b/>
                <w:sz w:val="18"/>
                <w:szCs w:val="18"/>
              </w:rPr>
              <w:t>Reading</w:t>
            </w:r>
            <w:r w:rsidRPr="00D42A93">
              <w:rPr>
                <w:rFonts w:ascii="Arial" w:hAnsi="Arial" w:cs="Arial"/>
                <w:sz w:val="18"/>
                <w:szCs w:val="18"/>
              </w:rPr>
              <w:t xml:space="preserve"> – Shared reading</w:t>
            </w:r>
          </w:p>
        </w:tc>
        <w:tc>
          <w:tcPr>
            <w:tcW w:w="11907" w:type="dxa"/>
            <w:shd w:val="clear" w:color="auto" w:fill="auto"/>
          </w:tcPr>
          <w:p w14:paraId="33782A8E" w14:textId="77777777" w:rsidR="000016F4" w:rsidRPr="00D42A93" w:rsidRDefault="000016F4" w:rsidP="000016F4">
            <w:pPr>
              <w:rPr>
                <w:rFonts w:ascii="Arial" w:hAnsi="Arial" w:cs="Arial"/>
                <w:sz w:val="18"/>
                <w:szCs w:val="18"/>
              </w:rPr>
            </w:pPr>
            <w:r w:rsidRPr="00D42A93">
              <w:rPr>
                <w:rFonts w:ascii="Arial" w:hAnsi="Arial" w:cs="Arial"/>
                <w:sz w:val="18"/>
                <w:szCs w:val="18"/>
              </w:rPr>
              <w:t xml:space="preserve">This approach has been found to make a positive impact on reading </w:t>
            </w:r>
            <w:hyperlink r:id="rId25" w:history="1">
              <w:r w:rsidRPr="00D42A93">
                <w:rPr>
                  <w:rStyle w:val="Hyperlink"/>
                  <w:rFonts w:ascii="Arial" w:hAnsi="Arial" w:cs="Arial"/>
                  <w:sz w:val="18"/>
                  <w:szCs w:val="18"/>
                </w:rPr>
                <w:t>http://scholarworks.wmich.edu/cgi/viewcontent.cgi?article=1292&amp;context=reading_horizons</w:t>
              </w:r>
            </w:hyperlink>
            <w:r w:rsidRPr="00D42A93">
              <w:rPr>
                <w:rFonts w:ascii="Arial" w:hAnsi="Arial" w:cs="Arial"/>
                <w:sz w:val="18"/>
                <w:szCs w:val="18"/>
              </w:rPr>
              <w:t xml:space="preserve"> </w:t>
            </w:r>
          </w:p>
          <w:p w14:paraId="240569A5" w14:textId="77777777" w:rsidR="000016F4" w:rsidRPr="00D42A93" w:rsidRDefault="000016F4" w:rsidP="000016F4">
            <w:pPr>
              <w:rPr>
                <w:rFonts w:ascii="Arial" w:hAnsi="Arial" w:cs="Arial"/>
                <w:sz w:val="18"/>
                <w:szCs w:val="18"/>
              </w:rPr>
            </w:pPr>
          </w:p>
        </w:tc>
      </w:tr>
      <w:tr w:rsidR="000016F4" w:rsidRPr="0091778E" w14:paraId="02AF0398" w14:textId="77777777" w:rsidTr="0091778E">
        <w:trPr>
          <w:trHeight w:val="183"/>
        </w:trPr>
        <w:tc>
          <w:tcPr>
            <w:tcW w:w="3402" w:type="dxa"/>
            <w:shd w:val="clear" w:color="auto" w:fill="auto"/>
          </w:tcPr>
          <w:p w14:paraId="52645385" w14:textId="76C0BB38" w:rsidR="000016F4" w:rsidRPr="00D42A93" w:rsidRDefault="000016F4" w:rsidP="000016F4">
            <w:pPr>
              <w:rPr>
                <w:rFonts w:ascii="Arial" w:hAnsi="Arial" w:cs="Arial"/>
                <w:b/>
                <w:sz w:val="18"/>
                <w:szCs w:val="18"/>
                <w:highlight w:val="yellow"/>
              </w:rPr>
            </w:pPr>
            <w:r w:rsidRPr="00D42A93">
              <w:rPr>
                <w:rFonts w:ascii="Arial" w:hAnsi="Arial" w:cs="Arial"/>
                <w:b/>
                <w:sz w:val="18"/>
                <w:szCs w:val="18"/>
                <w:highlight w:val="yellow"/>
              </w:rPr>
              <w:t xml:space="preserve">Reading – </w:t>
            </w:r>
            <w:r w:rsidRPr="00D42A93">
              <w:rPr>
                <w:rFonts w:ascii="Arial" w:hAnsi="Arial" w:cs="Arial"/>
                <w:sz w:val="18"/>
                <w:szCs w:val="18"/>
                <w:highlight w:val="yellow"/>
              </w:rPr>
              <w:t xml:space="preserve">Comprehension </w:t>
            </w:r>
          </w:p>
        </w:tc>
        <w:tc>
          <w:tcPr>
            <w:tcW w:w="11907" w:type="dxa"/>
            <w:shd w:val="clear" w:color="auto" w:fill="auto"/>
          </w:tcPr>
          <w:p w14:paraId="3AA868C6" w14:textId="7FC5761B" w:rsidR="000016F4" w:rsidRDefault="004E21FA" w:rsidP="000016F4">
            <w:pPr>
              <w:rPr>
                <w:rFonts w:ascii="Arial" w:hAnsi="Arial" w:cs="Arial"/>
                <w:sz w:val="18"/>
                <w:szCs w:val="18"/>
              </w:rPr>
            </w:pPr>
            <w:hyperlink r:id="rId26" w:history="1">
              <w:r w:rsidR="000016F4" w:rsidRPr="00CC564D">
                <w:rPr>
                  <w:rStyle w:val="Hyperlink"/>
                  <w:rFonts w:ascii="Arial" w:hAnsi="Arial" w:cs="Arial"/>
                  <w:sz w:val="18"/>
                  <w:szCs w:val="18"/>
                </w:rPr>
                <w:t>https://educationendowmentfoundation.org.uk/evidence-summaries/teaching-learning-toolkit/reading-comprehension-strategies/</w:t>
              </w:r>
            </w:hyperlink>
            <w:r w:rsidR="000016F4">
              <w:rPr>
                <w:rFonts w:ascii="Arial" w:hAnsi="Arial" w:cs="Arial"/>
                <w:sz w:val="18"/>
                <w:szCs w:val="18"/>
              </w:rPr>
              <w:t xml:space="preserve"> Research shows that o</w:t>
            </w:r>
            <w:r w:rsidR="000016F4" w:rsidRPr="00587D1B">
              <w:rPr>
                <w:rFonts w:ascii="Arial" w:hAnsi="Arial" w:cs="Arial"/>
                <w:sz w:val="18"/>
                <w:szCs w:val="18"/>
              </w:rPr>
              <w:t xml:space="preserve">n average, reading comprehension approaches improve learning by an additional five months’ progress over the course of a school year. These approaches appear to be particularly effective for </w:t>
            </w:r>
            <w:r w:rsidR="000016F4">
              <w:rPr>
                <w:rFonts w:ascii="Arial" w:hAnsi="Arial" w:cs="Arial"/>
                <w:sz w:val="18"/>
                <w:szCs w:val="18"/>
              </w:rPr>
              <w:t xml:space="preserve">older readers (aged 8 or above). </w:t>
            </w:r>
            <w:r w:rsidR="000016F4" w:rsidRPr="00587D1B">
              <w:rPr>
                <w:rFonts w:ascii="Arial" w:hAnsi="Arial" w:cs="Arial"/>
                <w:sz w:val="18"/>
                <w:szCs w:val="18"/>
              </w:rPr>
              <w:t xml:space="preserve">Successful reading comprehension approaches carefully </w:t>
            </w:r>
            <w:r w:rsidR="000016F4" w:rsidRPr="00587D1B">
              <w:rPr>
                <w:rFonts w:ascii="Arial" w:hAnsi="Arial" w:cs="Arial"/>
                <w:sz w:val="18"/>
                <w:szCs w:val="18"/>
              </w:rPr>
              <w:lastRenderedPageBreak/>
              <w:t>select activities for pupils according to their reading capabilities, and ensure that texts provide an effective, but not overwhelming, challenge</w:t>
            </w:r>
            <w:r w:rsidR="000016F4">
              <w:rPr>
                <w:rFonts w:ascii="Arial" w:hAnsi="Arial" w:cs="Arial"/>
                <w:sz w:val="18"/>
                <w:szCs w:val="18"/>
              </w:rPr>
              <w:t>.</w:t>
            </w:r>
          </w:p>
          <w:p w14:paraId="6DE4EEEE" w14:textId="0555764F" w:rsidR="000016F4" w:rsidRPr="0091778E" w:rsidRDefault="000016F4" w:rsidP="000016F4">
            <w:pPr>
              <w:rPr>
                <w:rFonts w:ascii="Arial" w:hAnsi="Arial" w:cs="Arial"/>
                <w:sz w:val="18"/>
                <w:szCs w:val="18"/>
              </w:rPr>
            </w:pPr>
          </w:p>
        </w:tc>
      </w:tr>
      <w:tr w:rsidR="000016F4" w:rsidRPr="0091778E" w14:paraId="2DE09EA7" w14:textId="77777777" w:rsidTr="0091778E">
        <w:trPr>
          <w:trHeight w:val="183"/>
        </w:trPr>
        <w:tc>
          <w:tcPr>
            <w:tcW w:w="3402" w:type="dxa"/>
            <w:shd w:val="clear" w:color="auto" w:fill="auto"/>
          </w:tcPr>
          <w:p w14:paraId="106B21BD" w14:textId="1924DC5E" w:rsidR="000016F4" w:rsidRPr="00BA72C6" w:rsidRDefault="000016F4" w:rsidP="000016F4">
            <w:pPr>
              <w:rPr>
                <w:rFonts w:ascii="Arial" w:hAnsi="Arial" w:cs="Arial"/>
                <w:b/>
                <w:sz w:val="18"/>
                <w:szCs w:val="18"/>
                <w:highlight w:val="yellow"/>
              </w:rPr>
            </w:pPr>
            <w:r w:rsidRPr="00BA72C6">
              <w:rPr>
                <w:rFonts w:ascii="Arial" w:hAnsi="Arial" w:cs="Arial"/>
                <w:b/>
                <w:sz w:val="18"/>
                <w:szCs w:val="18"/>
                <w:highlight w:val="yellow"/>
              </w:rPr>
              <w:lastRenderedPageBreak/>
              <w:t>Accelerated Reader</w:t>
            </w:r>
          </w:p>
        </w:tc>
        <w:tc>
          <w:tcPr>
            <w:tcW w:w="11907" w:type="dxa"/>
            <w:shd w:val="clear" w:color="auto" w:fill="auto"/>
          </w:tcPr>
          <w:p w14:paraId="449AFD7D" w14:textId="77777777" w:rsidR="000016F4" w:rsidRDefault="000016F4" w:rsidP="000016F4">
            <w:pPr>
              <w:rPr>
                <w:rFonts w:ascii="Arial" w:hAnsi="Arial" w:cs="Arial"/>
                <w:sz w:val="18"/>
                <w:szCs w:val="18"/>
              </w:rPr>
            </w:pPr>
            <w:r w:rsidRPr="00A14A93">
              <w:rPr>
                <w:rFonts w:ascii="Arial" w:hAnsi="Arial" w:cs="Arial"/>
                <w:sz w:val="18"/>
                <w:szCs w:val="18"/>
              </w:rPr>
              <w:t xml:space="preserve">The EEF found that Accelerated Reader appears to be effective for weaker readers as a catch-up intervention at the start of secondary school. </w:t>
            </w:r>
            <w:hyperlink r:id="rId27" w:history="1">
              <w:r w:rsidRPr="00A14A93">
                <w:rPr>
                  <w:rStyle w:val="Hyperlink"/>
                  <w:rFonts w:ascii="Arial" w:hAnsi="Arial" w:cs="Arial"/>
                  <w:sz w:val="18"/>
                  <w:szCs w:val="18"/>
                </w:rPr>
                <w:t>https://educationendowmentfoundation.org.uk/projects-and-evaluation/projects/accelerated-reader/</w:t>
              </w:r>
            </w:hyperlink>
            <w:r w:rsidRPr="00A14A93">
              <w:rPr>
                <w:rFonts w:ascii="Arial" w:hAnsi="Arial" w:cs="Arial"/>
                <w:sz w:val="18"/>
                <w:szCs w:val="18"/>
              </w:rPr>
              <w:t xml:space="preserve"> </w:t>
            </w:r>
          </w:p>
          <w:p w14:paraId="78FA1ABC" w14:textId="69BE4CF3" w:rsidR="000016F4" w:rsidRPr="00A14A93" w:rsidRDefault="000016F4" w:rsidP="000016F4">
            <w:pPr>
              <w:rPr>
                <w:rFonts w:ascii="Arial" w:hAnsi="Arial" w:cs="Arial"/>
                <w:sz w:val="18"/>
                <w:szCs w:val="18"/>
              </w:rPr>
            </w:pPr>
          </w:p>
        </w:tc>
      </w:tr>
      <w:tr w:rsidR="000016F4" w:rsidRPr="0091778E" w14:paraId="4B55C545" w14:textId="77777777" w:rsidTr="0091778E">
        <w:trPr>
          <w:trHeight w:val="183"/>
        </w:trPr>
        <w:tc>
          <w:tcPr>
            <w:tcW w:w="3402" w:type="dxa"/>
            <w:shd w:val="clear" w:color="auto" w:fill="auto"/>
          </w:tcPr>
          <w:p w14:paraId="659ABE26" w14:textId="77777777" w:rsidR="000016F4" w:rsidRPr="00BA72C6" w:rsidRDefault="000016F4" w:rsidP="000016F4">
            <w:pPr>
              <w:rPr>
                <w:rFonts w:ascii="Arial" w:hAnsi="Arial" w:cs="Arial"/>
                <w:sz w:val="18"/>
                <w:szCs w:val="18"/>
                <w:highlight w:val="yellow"/>
              </w:rPr>
            </w:pPr>
            <w:proofErr w:type="spellStart"/>
            <w:r w:rsidRPr="00BA72C6">
              <w:rPr>
                <w:rFonts w:ascii="Arial" w:hAnsi="Arial" w:cs="Arial"/>
                <w:sz w:val="18"/>
                <w:szCs w:val="18"/>
                <w:highlight w:val="yellow"/>
              </w:rPr>
              <w:t>Widgit</w:t>
            </w:r>
            <w:proofErr w:type="spellEnd"/>
            <w:r w:rsidRPr="00BA72C6">
              <w:rPr>
                <w:rFonts w:ascii="Arial" w:hAnsi="Arial" w:cs="Arial"/>
                <w:sz w:val="18"/>
                <w:szCs w:val="18"/>
                <w:highlight w:val="yellow"/>
              </w:rPr>
              <w:t xml:space="preserve"> – Communication in Print</w:t>
            </w:r>
          </w:p>
        </w:tc>
        <w:tc>
          <w:tcPr>
            <w:tcW w:w="11907" w:type="dxa"/>
            <w:shd w:val="clear" w:color="auto" w:fill="auto"/>
          </w:tcPr>
          <w:p w14:paraId="7C7D9AB5" w14:textId="77777777" w:rsidR="000016F4" w:rsidRPr="00A14A93" w:rsidRDefault="000016F4" w:rsidP="000016F4">
            <w:pPr>
              <w:rPr>
                <w:rFonts w:ascii="Arial" w:hAnsi="Arial" w:cs="Arial"/>
                <w:sz w:val="18"/>
                <w:szCs w:val="18"/>
              </w:rPr>
            </w:pPr>
            <w:proofErr w:type="spellStart"/>
            <w:r w:rsidRPr="00A14A93">
              <w:rPr>
                <w:rFonts w:ascii="Arial" w:hAnsi="Arial" w:cs="Arial"/>
                <w:sz w:val="18"/>
                <w:szCs w:val="18"/>
              </w:rPr>
              <w:t>Widgit</w:t>
            </w:r>
            <w:proofErr w:type="spellEnd"/>
            <w:r w:rsidRPr="00A14A93">
              <w:rPr>
                <w:rFonts w:ascii="Arial" w:hAnsi="Arial" w:cs="Arial"/>
                <w:sz w:val="18"/>
                <w:szCs w:val="18"/>
              </w:rPr>
              <w:t xml:space="preserve"> Communicate in Print - Symbols are images which are used to support text, making the meaning clearer and easier to understand. They provide a visual representation of a concept. Symbol Sets often follow a schematic structure, or set of design 'rules', that help the reader independently grow their own vocabulary. </w:t>
            </w:r>
            <w:hyperlink r:id="rId28" w:history="1">
              <w:r w:rsidRPr="00A14A93">
                <w:rPr>
                  <w:rStyle w:val="Hyperlink"/>
                  <w:rFonts w:ascii="Arial" w:hAnsi="Arial" w:cs="Arial"/>
                  <w:sz w:val="18"/>
                  <w:szCs w:val="18"/>
                </w:rPr>
                <w:t>https://www.widgit.com/symbols/index.htm</w:t>
              </w:r>
            </w:hyperlink>
            <w:r w:rsidRPr="00A14A93">
              <w:rPr>
                <w:rFonts w:ascii="Arial" w:hAnsi="Arial" w:cs="Arial"/>
                <w:sz w:val="18"/>
                <w:szCs w:val="18"/>
              </w:rPr>
              <w:t xml:space="preserve"> </w:t>
            </w:r>
          </w:p>
          <w:p w14:paraId="79A508F6" w14:textId="77777777" w:rsidR="000016F4" w:rsidRPr="00A14A93" w:rsidRDefault="000016F4" w:rsidP="000016F4">
            <w:pPr>
              <w:rPr>
                <w:rFonts w:ascii="Arial" w:hAnsi="Arial" w:cs="Arial"/>
                <w:sz w:val="18"/>
                <w:szCs w:val="18"/>
              </w:rPr>
            </w:pPr>
          </w:p>
        </w:tc>
      </w:tr>
      <w:tr w:rsidR="000016F4" w:rsidRPr="0091778E" w14:paraId="3B7489F3" w14:textId="77777777" w:rsidTr="0091778E">
        <w:trPr>
          <w:trHeight w:val="183"/>
        </w:trPr>
        <w:tc>
          <w:tcPr>
            <w:tcW w:w="3402" w:type="dxa"/>
            <w:vMerge w:val="restart"/>
            <w:shd w:val="clear" w:color="auto" w:fill="auto"/>
          </w:tcPr>
          <w:p w14:paraId="23750B10" w14:textId="2B74C60C" w:rsidR="000016F4" w:rsidRPr="0091778E" w:rsidRDefault="000016F4" w:rsidP="000016F4">
            <w:pPr>
              <w:rPr>
                <w:rFonts w:ascii="Arial" w:hAnsi="Arial" w:cs="Arial"/>
                <w:sz w:val="18"/>
                <w:szCs w:val="18"/>
              </w:rPr>
            </w:pPr>
            <w:r w:rsidRPr="004E21FA">
              <w:rPr>
                <w:rFonts w:ascii="Arial" w:hAnsi="Arial" w:cs="Arial"/>
                <w:b/>
                <w:sz w:val="18"/>
                <w:szCs w:val="18"/>
                <w:highlight w:val="yellow"/>
              </w:rPr>
              <w:t>Quality First Teaching</w:t>
            </w:r>
            <w:r w:rsidRPr="004E21FA">
              <w:rPr>
                <w:rFonts w:ascii="Arial" w:hAnsi="Arial" w:cs="Arial"/>
                <w:sz w:val="18"/>
                <w:szCs w:val="18"/>
                <w:highlight w:val="yellow"/>
              </w:rPr>
              <w:t xml:space="preserve"> </w:t>
            </w:r>
            <w:proofErr w:type="spellStart"/>
            <w:r w:rsidRPr="004E21FA">
              <w:rPr>
                <w:rFonts w:ascii="Arial" w:hAnsi="Arial" w:cs="Arial"/>
                <w:sz w:val="18"/>
                <w:szCs w:val="18"/>
                <w:highlight w:val="yellow"/>
              </w:rPr>
              <w:t>eg</w:t>
            </w:r>
            <w:proofErr w:type="spellEnd"/>
            <w:r w:rsidRPr="004E21FA">
              <w:rPr>
                <w:rFonts w:ascii="Arial" w:hAnsi="Arial" w:cs="Arial"/>
                <w:sz w:val="18"/>
                <w:szCs w:val="18"/>
                <w:highlight w:val="yellow"/>
              </w:rPr>
              <w:t>. Training and resources for staff</w:t>
            </w:r>
            <w:r w:rsidRPr="0091778E">
              <w:rPr>
                <w:rFonts w:ascii="Arial" w:hAnsi="Arial" w:cs="Arial"/>
                <w:sz w:val="18"/>
                <w:szCs w:val="18"/>
              </w:rPr>
              <w:t xml:space="preserve"> </w:t>
            </w:r>
          </w:p>
          <w:p w14:paraId="5C3625EC" w14:textId="77777777" w:rsidR="000016F4" w:rsidRPr="0091778E" w:rsidRDefault="000016F4" w:rsidP="000016F4">
            <w:pPr>
              <w:rPr>
                <w:rFonts w:ascii="Arial" w:hAnsi="Arial" w:cs="Arial"/>
                <w:sz w:val="18"/>
                <w:szCs w:val="18"/>
              </w:rPr>
            </w:pPr>
          </w:p>
        </w:tc>
        <w:tc>
          <w:tcPr>
            <w:tcW w:w="11907" w:type="dxa"/>
            <w:shd w:val="clear" w:color="auto" w:fill="auto"/>
          </w:tcPr>
          <w:p w14:paraId="2459C905" w14:textId="77777777" w:rsidR="000016F4" w:rsidRPr="00A14A93" w:rsidRDefault="004E21FA" w:rsidP="000016F4">
            <w:pPr>
              <w:rPr>
                <w:rFonts w:ascii="Arial" w:hAnsi="Arial" w:cs="Arial"/>
                <w:sz w:val="18"/>
                <w:szCs w:val="18"/>
              </w:rPr>
            </w:pPr>
            <w:hyperlink r:id="rId29" w:history="1">
              <w:r w:rsidR="000016F4" w:rsidRPr="00A14A93">
                <w:rPr>
                  <w:rStyle w:val="Hyperlink"/>
                  <w:rFonts w:ascii="Arial" w:hAnsi="Arial" w:cs="Arial"/>
                  <w:sz w:val="18"/>
                  <w:szCs w:val="18"/>
                </w:rPr>
                <w:t>https://www.gov.uk/government/publications/the-pupil-premium-how-schools-are-spending-the-funding-successfully</w:t>
              </w:r>
            </w:hyperlink>
            <w:r w:rsidR="000016F4" w:rsidRPr="00A14A93">
              <w:rPr>
                <w:rFonts w:ascii="Arial" w:hAnsi="Arial" w:cs="Arial"/>
                <w:sz w:val="18"/>
                <w:szCs w:val="18"/>
              </w:rPr>
              <w:t xml:space="preserve"> In line with the research, improving the quality or teaching and learning of disadvantaged pupils improves outcomes.</w:t>
            </w:r>
          </w:p>
          <w:p w14:paraId="23818914" w14:textId="77777777" w:rsidR="000016F4" w:rsidRPr="00A14A93" w:rsidRDefault="000016F4" w:rsidP="000016F4">
            <w:pPr>
              <w:rPr>
                <w:rFonts w:ascii="Arial" w:hAnsi="Arial" w:cs="Arial"/>
                <w:sz w:val="18"/>
                <w:szCs w:val="18"/>
              </w:rPr>
            </w:pPr>
          </w:p>
        </w:tc>
      </w:tr>
      <w:tr w:rsidR="000016F4" w:rsidRPr="0091778E" w14:paraId="3447B19D" w14:textId="77777777" w:rsidTr="0091778E">
        <w:trPr>
          <w:trHeight w:val="183"/>
        </w:trPr>
        <w:tc>
          <w:tcPr>
            <w:tcW w:w="3402" w:type="dxa"/>
            <w:vMerge/>
            <w:shd w:val="clear" w:color="auto" w:fill="auto"/>
          </w:tcPr>
          <w:p w14:paraId="20994976" w14:textId="77777777" w:rsidR="000016F4" w:rsidRPr="003774DF" w:rsidRDefault="000016F4" w:rsidP="000016F4">
            <w:pPr>
              <w:rPr>
                <w:rFonts w:ascii="Arial" w:hAnsi="Arial" w:cs="Arial"/>
                <w:b/>
                <w:sz w:val="18"/>
                <w:szCs w:val="18"/>
              </w:rPr>
            </w:pPr>
          </w:p>
        </w:tc>
        <w:tc>
          <w:tcPr>
            <w:tcW w:w="11907" w:type="dxa"/>
            <w:shd w:val="clear" w:color="auto" w:fill="auto"/>
          </w:tcPr>
          <w:p w14:paraId="058CAEBD" w14:textId="77777777" w:rsidR="000016F4" w:rsidRDefault="000016F4" w:rsidP="000016F4">
            <w:pPr>
              <w:rPr>
                <w:rFonts w:ascii="Arial" w:hAnsi="Arial" w:cs="Arial"/>
                <w:sz w:val="18"/>
                <w:szCs w:val="18"/>
              </w:rPr>
            </w:pPr>
            <w:r>
              <w:rPr>
                <w:rFonts w:ascii="Arial" w:hAnsi="Arial" w:cs="Arial"/>
                <w:sz w:val="18"/>
                <w:szCs w:val="18"/>
              </w:rPr>
              <w:t>In the EEF Attainment Gap 2017 report, it states that w</w:t>
            </w:r>
            <w:r w:rsidRPr="00E61265">
              <w:rPr>
                <w:rFonts w:ascii="Arial" w:hAnsi="Arial" w:cs="Arial"/>
                <w:sz w:val="18"/>
                <w:szCs w:val="18"/>
              </w:rPr>
              <w:t>hat happens in the classroom makes the biggest difference: improving teaching quality generally leads</w:t>
            </w:r>
            <w:r>
              <w:rPr>
                <w:rFonts w:ascii="Arial" w:hAnsi="Arial" w:cs="Arial"/>
                <w:sz w:val="18"/>
                <w:szCs w:val="18"/>
              </w:rPr>
              <w:t xml:space="preserve"> to greater improvements…</w:t>
            </w:r>
            <w:r w:rsidRPr="00E61265">
              <w:rPr>
                <w:rFonts w:ascii="Arial" w:hAnsi="Arial" w:cs="Arial"/>
                <w:sz w:val="18"/>
                <w:szCs w:val="18"/>
              </w:rPr>
              <w:t>There is particularly good evidence around the potential impact of teacher professional development</w:t>
            </w:r>
            <w:r>
              <w:rPr>
                <w:rFonts w:ascii="Arial" w:hAnsi="Arial" w:cs="Arial"/>
                <w:sz w:val="18"/>
                <w:szCs w:val="18"/>
              </w:rPr>
              <w:t xml:space="preserve"> </w:t>
            </w:r>
            <w:hyperlink r:id="rId30" w:history="1">
              <w:r w:rsidRPr="00CD44BE">
                <w:rPr>
                  <w:rStyle w:val="Hyperlink"/>
                  <w:rFonts w:ascii="Arial" w:hAnsi="Arial" w:cs="Arial"/>
                  <w:sz w:val="18"/>
                  <w:szCs w:val="18"/>
                </w:rPr>
                <w:t>https://educationendowmentfoundation.org.uk/evidence-summaries/attainment-gap/</w:t>
              </w:r>
            </w:hyperlink>
          </w:p>
          <w:p w14:paraId="33A3F701" w14:textId="6F540690" w:rsidR="000016F4" w:rsidRDefault="000016F4" w:rsidP="000016F4"/>
        </w:tc>
      </w:tr>
      <w:tr w:rsidR="000016F4" w:rsidRPr="0091778E" w14:paraId="7803FCF1" w14:textId="77777777" w:rsidTr="0091778E">
        <w:trPr>
          <w:trHeight w:val="183"/>
        </w:trPr>
        <w:tc>
          <w:tcPr>
            <w:tcW w:w="3402" w:type="dxa"/>
            <w:vMerge/>
            <w:shd w:val="clear" w:color="auto" w:fill="auto"/>
          </w:tcPr>
          <w:p w14:paraId="00DD0646" w14:textId="77777777" w:rsidR="000016F4" w:rsidRPr="0091778E" w:rsidRDefault="000016F4" w:rsidP="000016F4">
            <w:pPr>
              <w:rPr>
                <w:rFonts w:ascii="Arial" w:hAnsi="Arial" w:cs="Arial"/>
                <w:sz w:val="18"/>
                <w:szCs w:val="18"/>
              </w:rPr>
            </w:pPr>
          </w:p>
        </w:tc>
        <w:tc>
          <w:tcPr>
            <w:tcW w:w="11907" w:type="dxa"/>
            <w:shd w:val="clear" w:color="auto" w:fill="auto"/>
          </w:tcPr>
          <w:p w14:paraId="18D66741" w14:textId="77777777" w:rsidR="000016F4" w:rsidRDefault="000016F4" w:rsidP="000016F4">
            <w:pPr>
              <w:rPr>
                <w:rStyle w:val="Hyperlink"/>
                <w:rFonts w:ascii="Arial" w:hAnsi="Arial" w:cs="Arial"/>
                <w:sz w:val="18"/>
                <w:szCs w:val="18"/>
              </w:rPr>
            </w:pPr>
            <w:r w:rsidRPr="0091778E">
              <w:rPr>
                <w:rFonts w:ascii="Arial" w:hAnsi="Arial" w:cs="Arial"/>
                <w:sz w:val="18"/>
                <w:szCs w:val="18"/>
              </w:rPr>
              <w:t xml:space="preserve">Quality First Teaching is seen as one of the 7 Building Blocks for Success when supporting the attainment of disadvantaged pupils - </w:t>
            </w:r>
            <w:hyperlink r:id="rId31" w:history="1">
              <w:r w:rsidRPr="0091778E">
                <w:rPr>
                  <w:rStyle w:val="Hyperlink"/>
                  <w:rFonts w:ascii="Arial" w:hAnsi="Arial" w:cs="Arial"/>
                  <w:sz w:val="18"/>
                  <w:szCs w:val="18"/>
                </w:rPr>
                <w:t>https://www.gov.uk/government/uploads/system/uploads/attachment_data/file/473976/DFE-RS411_Supporting_the_attainment_of_disadvantaged_pupils_-_briefing_for_school_leaders.pdf</w:t>
              </w:r>
            </w:hyperlink>
          </w:p>
          <w:p w14:paraId="380A2396" w14:textId="011835D9" w:rsidR="000016F4" w:rsidRPr="0091778E" w:rsidRDefault="000016F4" w:rsidP="000016F4">
            <w:pPr>
              <w:rPr>
                <w:rFonts w:ascii="Arial" w:hAnsi="Arial" w:cs="Arial"/>
                <w:sz w:val="18"/>
                <w:szCs w:val="18"/>
              </w:rPr>
            </w:pPr>
          </w:p>
        </w:tc>
      </w:tr>
      <w:tr w:rsidR="000016F4" w:rsidRPr="0091778E" w14:paraId="2D3C0F2E" w14:textId="77777777" w:rsidTr="0091778E">
        <w:trPr>
          <w:trHeight w:val="183"/>
        </w:trPr>
        <w:tc>
          <w:tcPr>
            <w:tcW w:w="3402" w:type="dxa"/>
            <w:shd w:val="clear" w:color="auto" w:fill="auto"/>
          </w:tcPr>
          <w:p w14:paraId="4C0BA662" w14:textId="77777777" w:rsidR="000016F4" w:rsidRPr="0091778E" w:rsidRDefault="000016F4" w:rsidP="000016F4">
            <w:pPr>
              <w:rPr>
                <w:rFonts w:ascii="Arial" w:hAnsi="Arial" w:cs="Arial"/>
                <w:sz w:val="18"/>
                <w:szCs w:val="18"/>
              </w:rPr>
            </w:pPr>
            <w:r w:rsidRPr="003774DF">
              <w:rPr>
                <w:rFonts w:ascii="Arial" w:hAnsi="Arial" w:cs="Arial"/>
                <w:b/>
                <w:sz w:val="18"/>
                <w:szCs w:val="18"/>
              </w:rPr>
              <w:t>Extending School</w:t>
            </w:r>
            <w:r w:rsidRPr="0091778E">
              <w:rPr>
                <w:rFonts w:ascii="Arial" w:hAnsi="Arial" w:cs="Arial"/>
                <w:sz w:val="18"/>
                <w:szCs w:val="18"/>
              </w:rPr>
              <w:t xml:space="preserve"> Time </w:t>
            </w:r>
            <w:proofErr w:type="spellStart"/>
            <w:r w:rsidRPr="0091778E">
              <w:rPr>
                <w:rFonts w:ascii="Arial" w:hAnsi="Arial" w:cs="Arial"/>
                <w:sz w:val="18"/>
                <w:szCs w:val="18"/>
              </w:rPr>
              <w:t>eg</w:t>
            </w:r>
            <w:proofErr w:type="spellEnd"/>
            <w:r w:rsidRPr="0091778E">
              <w:rPr>
                <w:rFonts w:ascii="Arial" w:hAnsi="Arial" w:cs="Arial"/>
                <w:sz w:val="18"/>
                <w:szCs w:val="18"/>
              </w:rPr>
              <w:t xml:space="preserve">. Booster Sessions </w:t>
            </w:r>
          </w:p>
        </w:tc>
        <w:tc>
          <w:tcPr>
            <w:tcW w:w="11907" w:type="dxa"/>
            <w:shd w:val="clear" w:color="auto" w:fill="auto"/>
          </w:tcPr>
          <w:p w14:paraId="75FAC8C0" w14:textId="77777777" w:rsidR="000016F4" w:rsidRPr="0091778E" w:rsidRDefault="004E21FA" w:rsidP="000016F4">
            <w:pPr>
              <w:rPr>
                <w:rFonts w:ascii="Arial" w:hAnsi="Arial" w:cs="Arial"/>
                <w:sz w:val="18"/>
                <w:szCs w:val="18"/>
              </w:rPr>
            </w:pPr>
            <w:hyperlink r:id="rId32" w:history="1">
              <w:r w:rsidR="000016F4" w:rsidRPr="0091778E">
                <w:rPr>
                  <w:rStyle w:val="Hyperlink"/>
                  <w:rFonts w:ascii="Arial" w:hAnsi="Arial" w:cs="Arial"/>
                  <w:sz w:val="18"/>
                  <w:szCs w:val="18"/>
                </w:rPr>
                <w:t>https://educationendowmentfoundation.org.uk/evidence-summaries/teaching-learning-toolkit</w:t>
              </w:r>
            </w:hyperlink>
            <w:r w:rsidR="000016F4" w:rsidRPr="0091778E">
              <w:rPr>
                <w:rFonts w:ascii="Arial" w:hAnsi="Arial" w:cs="Arial"/>
                <w:sz w:val="18"/>
                <w:szCs w:val="18"/>
              </w:rPr>
              <w:t xml:space="preserve">  Evidenced that extending the school times makes a positive impact on academic outcomes.</w:t>
            </w:r>
          </w:p>
          <w:p w14:paraId="30F47512" w14:textId="77777777" w:rsidR="000016F4" w:rsidRPr="0091778E" w:rsidRDefault="000016F4" w:rsidP="000016F4">
            <w:pPr>
              <w:rPr>
                <w:rFonts w:ascii="Arial" w:hAnsi="Arial" w:cs="Arial"/>
                <w:sz w:val="18"/>
                <w:szCs w:val="18"/>
              </w:rPr>
            </w:pPr>
          </w:p>
        </w:tc>
      </w:tr>
      <w:tr w:rsidR="000016F4" w:rsidRPr="0091778E" w14:paraId="106BF799" w14:textId="77777777" w:rsidTr="0091778E">
        <w:trPr>
          <w:trHeight w:val="183"/>
        </w:trPr>
        <w:tc>
          <w:tcPr>
            <w:tcW w:w="3402" w:type="dxa"/>
            <w:vMerge w:val="restart"/>
            <w:shd w:val="clear" w:color="auto" w:fill="auto"/>
          </w:tcPr>
          <w:p w14:paraId="7DEAB370" w14:textId="760D2FDB" w:rsidR="000016F4" w:rsidRPr="003774DF" w:rsidRDefault="000016F4" w:rsidP="000016F4">
            <w:pPr>
              <w:rPr>
                <w:rFonts w:ascii="Arial" w:hAnsi="Arial" w:cs="Arial"/>
                <w:b/>
                <w:sz w:val="18"/>
                <w:szCs w:val="18"/>
              </w:rPr>
            </w:pPr>
            <w:r>
              <w:rPr>
                <w:rFonts w:ascii="Arial" w:hAnsi="Arial" w:cs="Arial"/>
                <w:b/>
                <w:sz w:val="18"/>
                <w:szCs w:val="18"/>
              </w:rPr>
              <w:t>Early Years Interventions</w:t>
            </w:r>
          </w:p>
        </w:tc>
        <w:tc>
          <w:tcPr>
            <w:tcW w:w="11907" w:type="dxa"/>
            <w:shd w:val="clear" w:color="auto" w:fill="auto"/>
          </w:tcPr>
          <w:p w14:paraId="18AFA634" w14:textId="14AF9D5F" w:rsidR="000016F4" w:rsidRPr="0091778E" w:rsidRDefault="004E21FA" w:rsidP="000016F4">
            <w:pPr>
              <w:rPr>
                <w:rFonts w:ascii="Arial" w:hAnsi="Arial" w:cs="Arial"/>
                <w:sz w:val="18"/>
                <w:szCs w:val="18"/>
              </w:rPr>
            </w:pPr>
            <w:hyperlink r:id="rId33" w:history="1">
              <w:r w:rsidR="000016F4" w:rsidRPr="0091778E">
                <w:rPr>
                  <w:rStyle w:val="Hyperlink"/>
                  <w:rFonts w:ascii="Arial" w:hAnsi="Arial" w:cs="Arial"/>
                  <w:sz w:val="18"/>
                  <w:szCs w:val="18"/>
                </w:rPr>
                <w:t>https://www.gov.uk/government/publications/the-pupil-premium-how-schools-are-spending-the-funding-successfully</w:t>
              </w:r>
            </w:hyperlink>
            <w:r w:rsidR="000016F4" w:rsidRPr="0091778E">
              <w:rPr>
                <w:rFonts w:ascii="Arial" w:hAnsi="Arial" w:cs="Arial"/>
                <w:sz w:val="18"/>
                <w:szCs w:val="18"/>
              </w:rPr>
              <w:t xml:space="preserve">  In line with the research, </w:t>
            </w:r>
            <w:r w:rsidR="000016F4" w:rsidRPr="003774DF">
              <w:rPr>
                <w:rFonts w:ascii="Arial" w:hAnsi="Arial" w:cs="Arial"/>
                <w:sz w:val="18"/>
                <w:szCs w:val="18"/>
              </w:rPr>
              <w:t>early years and pre-school intervention is beneficial. On average, early years interventions have an impact of five additional months' progress, and appear to be particularly beneficial for children from low income families.</w:t>
            </w:r>
          </w:p>
          <w:p w14:paraId="2FF2CB3F" w14:textId="77777777" w:rsidR="000016F4" w:rsidRPr="0091778E" w:rsidRDefault="000016F4" w:rsidP="000016F4">
            <w:pPr>
              <w:rPr>
                <w:rFonts w:ascii="Arial" w:hAnsi="Arial" w:cs="Arial"/>
                <w:sz w:val="18"/>
                <w:szCs w:val="18"/>
              </w:rPr>
            </w:pPr>
          </w:p>
        </w:tc>
      </w:tr>
      <w:tr w:rsidR="000016F4" w:rsidRPr="0091778E" w14:paraId="48AD8E11" w14:textId="77777777" w:rsidTr="0091778E">
        <w:trPr>
          <w:trHeight w:val="183"/>
        </w:trPr>
        <w:tc>
          <w:tcPr>
            <w:tcW w:w="3402" w:type="dxa"/>
            <w:vMerge/>
            <w:shd w:val="clear" w:color="auto" w:fill="auto"/>
          </w:tcPr>
          <w:p w14:paraId="45CC273B" w14:textId="77777777" w:rsidR="000016F4" w:rsidRDefault="000016F4" w:rsidP="000016F4">
            <w:pPr>
              <w:rPr>
                <w:rFonts w:ascii="Arial" w:hAnsi="Arial" w:cs="Arial"/>
                <w:b/>
                <w:sz w:val="18"/>
                <w:szCs w:val="18"/>
              </w:rPr>
            </w:pPr>
          </w:p>
        </w:tc>
        <w:tc>
          <w:tcPr>
            <w:tcW w:w="11907" w:type="dxa"/>
            <w:shd w:val="clear" w:color="auto" w:fill="auto"/>
          </w:tcPr>
          <w:p w14:paraId="4409D7EE" w14:textId="0DEC5468" w:rsidR="000016F4" w:rsidRPr="00D42A93" w:rsidRDefault="000016F4" w:rsidP="000016F4">
            <w:pPr>
              <w:rPr>
                <w:rFonts w:ascii="Arial" w:hAnsi="Arial" w:cs="Arial"/>
                <w:sz w:val="18"/>
                <w:szCs w:val="18"/>
              </w:rPr>
            </w:pPr>
            <w:r>
              <w:rPr>
                <w:rFonts w:ascii="Arial" w:hAnsi="Arial" w:cs="Arial"/>
                <w:sz w:val="18"/>
                <w:szCs w:val="18"/>
              </w:rPr>
              <w:t xml:space="preserve">In the EEF Attainment Gap 2017 report, it states that </w:t>
            </w:r>
            <w:r>
              <w:t>p</w:t>
            </w:r>
            <w:r w:rsidRPr="00E61265">
              <w:rPr>
                <w:rFonts w:ascii="Arial" w:hAnsi="Arial" w:cs="Arial"/>
                <w:sz w:val="18"/>
                <w:szCs w:val="18"/>
              </w:rPr>
              <w:t xml:space="preserve">rofessional support and training for early </w:t>
            </w:r>
            <w:proofErr w:type="gramStart"/>
            <w:r w:rsidRPr="00E61265">
              <w:rPr>
                <w:rFonts w:ascii="Arial" w:hAnsi="Arial" w:cs="Arial"/>
                <w:sz w:val="18"/>
                <w:szCs w:val="18"/>
              </w:rPr>
              <w:t>years</w:t>
            </w:r>
            <w:proofErr w:type="gramEnd"/>
            <w:r w:rsidRPr="00E61265">
              <w:rPr>
                <w:rFonts w:ascii="Arial" w:hAnsi="Arial" w:cs="Arial"/>
                <w:sz w:val="18"/>
                <w:szCs w:val="18"/>
              </w:rPr>
              <w:t xml:space="preserve"> workers is key. Areas with potential include communication and language approaches; self</w:t>
            </w:r>
            <w:r>
              <w:rPr>
                <w:rFonts w:ascii="Arial" w:hAnsi="Arial" w:cs="Arial"/>
                <w:sz w:val="18"/>
                <w:szCs w:val="18"/>
              </w:rPr>
              <w:t>-</w:t>
            </w:r>
            <w:r w:rsidRPr="00E61265">
              <w:rPr>
                <w:rFonts w:ascii="Arial" w:hAnsi="Arial" w:cs="Arial"/>
                <w:sz w:val="18"/>
                <w:szCs w:val="18"/>
              </w:rPr>
              <w:t>regulation strat</w:t>
            </w:r>
            <w:r>
              <w:rPr>
                <w:rFonts w:ascii="Arial" w:hAnsi="Arial" w:cs="Arial"/>
                <w:sz w:val="18"/>
                <w:szCs w:val="18"/>
              </w:rPr>
              <w:t xml:space="preserve">egies; and parental involvement </w:t>
            </w:r>
            <w:hyperlink r:id="rId34" w:history="1">
              <w:r w:rsidRPr="00CD44BE">
                <w:rPr>
                  <w:rStyle w:val="Hyperlink"/>
                  <w:rFonts w:ascii="Arial" w:hAnsi="Arial" w:cs="Arial"/>
                  <w:sz w:val="18"/>
                  <w:szCs w:val="18"/>
                </w:rPr>
                <w:t>https://educationendowmentfoundation.org.uk/evidence-summaries/attainment-gap/</w:t>
              </w:r>
            </w:hyperlink>
          </w:p>
        </w:tc>
      </w:tr>
      <w:tr w:rsidR="000016F4" w:rsidRPr="0091778E" w14:paraId="263F3CA7" w14:textId="77777777" w:rsidTr="0091778E">
        <w:trPr>
          <w:trHeight w:val="183"/>
        </w:trPr>
        <w:tc>
          <w:tcPr>
            <w:tcW w:w="3402" w:type="dxa"/>
            <w:vMerge w:val="restart"/>
            <w:shd w:val="clear" w:color="auto" w:fill="auto"/>
          </w:tcPr>
          <w:p w14:paraId="55593849" w14:textId="02E926F8" w:rsidR="000016F4" w:rsidRDefault="000016F4" w:rsidP="000016F4">
            <w:pPr>
              <w:rPr>
                <w:rFonts w:ascii="Arial" w:hAnsi="Arial" w:cs="Arial"/>
                <w:b/>
                <w:sz w:val="18"/>
                <w:szCs w:val="18"/>
              </w:rPr>
            </w:pPr>
            <w:r w:rsidRPr="004E21FA">
              <w:rPr>
                <w:rFonts w:ascii="Arial" w:hAnsi="Arial" w:cs="Arial"/>
                <w:b/>
                <w:sz w:val="18"/>
                <w:szCs w:val="18"/>
                <w:highlight w:val="yellow"/>
              </w:rPr>
              <w:t>Attendance</w:t>
            </w:r>
            <w:r w:rsidRPr="0091778E">
              <w:rPr>
                <w:rFonts w:ascii="Arial" w:hAnsi="Arial" w:cs="Arial"/>
                <w:sz w:val="18"/>
                <w:szCs w:val="18"/>
              </w:rPr>
              <w:t xml:space="preserve"> (including transport)</w:t>
            </w:r>
          </w:p>
        </w:tc>
        <w:tc>
          <w:tcPr>
            <w:tcW w:w="11907" w:type="dxa"/>
            <w:shd w:val="clear" w:color="auto" w:fill="auto"/>
          </w:tcPr>
          <w:p w14:paraId="6A707AC0" w14:textId="77777777" w:rsidR="000016F4" w:rsidRDefault="000016F4" w:rsidP="000016F4">
            <w:pPr>
              <w:rPr>
                <w:rFonts w:ascii="Arial" w:hAnsi="Arial" w:cs="Arial"/>
                <w:sz w:val="18"/>
                <w:szCs w:val="18"/>
              </w:rPr>
            </w:pPr>
            <w:r w:rsidRPr="00E8528C">
              <w:rPr>
                <w:rFonts w:ascii="Arial" w:hAnsi="Arial" w:cs="Arial"/>
                <w:sz w:val="18"/>
                <w:szCs w:val="18"/>
              </w:rPr>
              <w:t xml:space="preserve">Good attendance is also listed in the top 10 approaches for disadvantaged pupils in </w:t>
            </w:r>
            <w:hyperlink r:id="rId35" w:history="1">
              <w:r w:rsidRPr="00CC564D">
                <w:rPr>
                  <w:rStyle w:val="Hyperlink"/>
                  <w:rFonts w:ascii="Arial" w:hAnsi="Arial" w:cs="Arial"/>
                  <w:sz w:val="18"/>
                  <w:szCs w:val="18"/>
                </w:rPr>
                <w:t>https://www.gov.uk/government/publications/the-pupil-premium-how-schools-are-spending-the-funding-successfully</w:t>
              </w:r>
            </w:hyperlink>
            <w:r>
              <w:rPr>
                <w:rFonts w:ascii="Arial" w:hAnsi="Arial" w:cs="Arial"/>
                <w:sz w:val="18"/>
                <w:szCs w:val="18"/>
              </w:rPr>
              <w:t xml:space="preserve"> </w:t>
            </w:r>
          </w:p>
          <w:p w14:paraId="5AD13085" w14:textId="7443DC89" w:rsidR="000016F4" w:rsidRDefault="000016F4" w:rsidP="000016F4">
            <w:pPr>
              <w:rPr>
                <w:rFonts w:ascii="Arial" w:hAnsi="Arial" w:cs="Arial"/>
                <w:sz w:val="18"/>
                <w:szCs w:val="18"/>
              </w:rPr>
            </w:pPr>
          </w:p>
        </w:tc>
      </w:tr>
      <w:tr w:rsidR="000016F4" w:rsidRPr="0091778E" w14:paraId="6E749321" w14:textId="77777777" w:rsidTr="0091778E">
        <w:trPr>
          <w:trHeight w:val="183"/>
        </w:trPr>
        <w:tc>
          <w:tcPr>
            <w:tcW w:w="3402" w:type="dxa"/>
            <w:vMerge/>
            <w:shd w:val="clear" w:color="auto" w:fill="auto"/>
          </w:tcPr>
          <w:p w14:paraId="45D44B9F" w14:textId="77777777" w:rsidR="000016F4" w:rsidRPr="003774DF" w:rsidRDefault="000016F4" w:rsidP="000016F4">
            <w:pPr>
              <w:rPr>
                <w:rFonts w:ascii="Arial" w:hAnsi="Arial" w:cs="Arial"/>
                <w:b/>
                <w:sz w:val="18"/>
                <w:szCs w:val="18"/>
              </w:rPr>
            </w:pPr>
          </w:p>
        </w:tc>
        <w:tc>
          <w:tcPr>
            <w:tcW w:w="11907" w:type="dxa"/>
            <w:shd w:val="clear" w:color="auto" w:fill="auto"/>
          </w:tcPr>
          <w:p w14:paraId="4D6B4F6B" w14:textId="77777777" w:rsidR="000016F4" w:rsidRDefault="000016F4" w:rsidP="000016F4">
            <w:pPr>
              <w:rPr>
                <w:rStyle w:val="Hyperlink"/>
                <w:rFonts w:ascii="Arial" w:hAnsi="Arial" w:cs="Arial"/>
                <w:sz w:val="18"/>
                <w:szCs w:val="18"/>
              </w:rPr>
            </w:pPr>
            <w:r w:rsidRPr="0091778E">
              <w:rPr>
                <w:rFonts w:ascii="Arial" w:hAnsi="Arial" w:cs="Arial"/>
                <w:sz w:val="18"/>
                <w:szCs w:val="18"/>
              </w:rPr>
              <w:t xml:space="preserve">Attendance is seen as one of the 7 Building Blocks for Success when supporting the attainment of disadvantaged pupils - </w:t>
            </w:r>
            <w:hyperlink r:id="rId36" w:history="1">
              <w:r w:rsidRPr="0091778E">
                <w:rPr>
                  <w:rStyle w:val="Hyperlink"/>
                  <w:rFonts w:ascii="Arial" w:hAnsi="Arial" w:cs="Arial"/>
                  <w:sz w:val="18"/>
                  <w:szCs w:val="18"/>
                </w:rPr>
                <w:t>https://www.gov.uk/government/uploads/system/uploads/attachment_data/file/473976/DFE-RS411_Supporting_the_attainment_of_disadvantaged_pupils_-_briefing_for_school_leaders.pdf</w:t>
              </w:r>
            </w:hyperlink>
          </w:p>
          <w:p w14:paraId="7C65F4FD" w14:textId="78220D76" w:rsidR="000016F4" w:rsidRPr="00E8528C" w:rsidRDefault="000016F4" w:rsidP="000016F4">
            <w:pPr>
              <w:rPr>
                <w:rFonts w:ascii="Arial" w:hAnsi="Arial" w:cs="Arial"/>
                <w:sz w:val="18"/>
                <w:szCs w:val="18"/>
              </w:rPr>
            </w:pPr>
          </w:p>
        </w:tc>
      </w:tr>
      <w:tr w:rsidR="00D42A93" w:rsidRPr="0091778E" w14:paraId="51575F65" w14:textId="77777777" w:rsidTr="0091778E">
        <w:trPr>
          <w:trHeight w:val="183"/>
        </w:trPr>
        <w:tc>
          <w:tcPr>
            <w:tcW w:w="3402" w:type="dxa"/>
            <w:shd w:val="clear" w:color="auto" w:fill="auto"/>
          </w:tcPr>
          <w:p w14:paraId="543E7E1E" w14:textId="6FBACBFB" w:rsidR="00D42A93" w:rsidRPr="003774DF" w:rsidRDefault="00D42A93" w:rsidP="00D42A93">
            <w:pPr>
              <w:rPr>
                <w:rFonts w:ascii="Arial" w:hAnsi="Arial" w:cs="Arial"/>
                <w:b/>
                <w:sz w:val="18"/>
                <w:szCs w:val="18"/>
              </w:rPr>
            </w:pPr>
            <w:r w:rsidRPr="004E21FA">
              <w:rPr>
                <w:rFonts w:ascii="Arial" w:hAnsi="Arial" w:cs="Arial"/>
                <w:b/>
                <w:sz w:val="18"/>
                <w:szCs w:val="18"/>
                <w:highlight w:val="yellow"/>
              </w:rPr>
              <w:t>CPD for Teaching Assistants</w:t>
            </w:r>
          </w:p>
        </w:tc>
        <w:tc>
          <w:tcPr>
            <w:tcW w:w="11907" w:type="dxa"/>
            <w:shd w:val="clear" w:color="auto" w:fill="auto"/>
          </w:tcPr>
          <w:p w14:paraId="6C3053D7" w14:textId="77777777" w:rsidR="00D42A93" w:rsidRPr="00E61265" w:rsidRDefault="00D42A93" w:rsidP="00D42A93">
            <w:pPr>
              <w:rPr>
                <w:rFonts w:ascii="Arial" w:hAnsi="Arial" w:cs="Arial"/>
                <w:sz w:val="18"/>
                <w:szCs w:val="18"/>
              </w:rPr>
            </w:pPr>
            <w:r w:rsidRPr="00E61265">
              <w:rPr>
                <w:rFonts w:ascii="Arial" w:hAnsi="Arial" w:cs="Arial"/>
                <w:sz w:val="18"/>
                <w:szCs w:val="18"/>
              </w:rPr>
              <w:t>In the EEF Attainment Gap 2017 report, it states that trials have shown how, when properly trained and supported, teaching assistants working in structured ways with small groups can boost pupils’ progress.</w:t>
            </w:r>
            <w:hyperlink r:id="rId37" w:history="1">
              <w:r w:rsidRPr="00CD44BE">
                <w:rPr>
                  <w:rStyle w:val="Hyperlink"/>
                  <w:rFonts w:ascii="Arial" w:hAnsi="Arial" w:cs="Arial"/>
                  <w:sz w:val="18"/>
                  <w:szCs w:val="18"/>
                </w:rPr>
                <w:t>https://educationendowmentfoundation.org.uk/evidence-summaries/attainment-gap/</w:t>
              </w:r>
            </w:hyperlink>
            <w:r>
              <w:rPr>
                <w:rFonts w:ascii="Arial" w:hAnsi="Arial" w:cs="Arial"/>
                <w:sz w:val="18"/>
                <w:szCs w:val="18"/>
              </w:rPr>
              <w:t xml:space="preserve"> </w:t>
            </w:r>
          </w:p>
          <w:p w14:paraId="7C79379C" w14:textId="77777777" w:rsidR="00D42A93" w:rsidRPr="0091778E" w:rsidRDefault="00D42A93" w:rsidP="00D42A93">
            <w:pPr>
              <w:rPr>
                <w:rFonts w:ascii="Arial" w:hAnsi="Arial" w:cs="Arial"/>
                <w:sz w:val="18"/>
                <w:szCs w:val="18"/>
              </w:rPr>
            </w:pPr>
          </w:p>
        </w:tc>
      </w:tr>
    </w:tbl>
    <w:p w14:paraId="71A4EEB0" w14:textId="2F1885B6" w:rsidR="00420E0C" w:rsidRPr="00D61EFC" w:rsidRDefault="00420E0C" w:rsidP="00BA72C6">
      <w:pPr>
        <w:tabs>
          <w:tab w:val="left" w:pos="7200"/>
        </w:tabs>
        <w:rPr>
          <w:sz w:val="28"/>
          <w:szCs w:val="28"/>
        </w:rPr>
      </w:pPr>
      <w:bookmarkStart w:id="0" w:name="_GoBack"/>
      <w:bookmarkEnd w:id="0"/>
    </w:p>
    <w:sectPr w:rsidR="00420E0C" w:rsidRPr="00D61EFC" w:rsidSect="00B75ADD">
      <w:headerReference w:type="default" r:id="rId38"/>
      <w:pgSz w:w="16838" w:h="11906" w:orient="landscape"/>
      <w:pgMar w:top="720" w:right="720" w:bottom="720" w:left="720" w:header="708" w:footer="708" w:gutter="0"/>
      <w:pgBorders w:offsetFrom="page">
        <w:top w:val="double" w:sz="4" w:space="24" w:color="5F497A" w:themeColor="accent4" w:themeShade="BF"/>
        <w:left w:val="double" w:sz="4" w:space="24" w:color="5F497A" w:themeColor="accent4" w:themeShade="BF"/>
        <w:bottom w:val="double" w:sz="4" w:space="24" w:color="5F497A" w:themeColor="accent4" w:themeShade="BF"/>
        <w:right w:val="double" w:sz="4"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0145" w14:textId="77777777" w:rsidR="00494C59" w:rsidRDefault="00494C59" w:rsidP="00A62EE9">
      <w:pPr>
        <w:spacing w:after="0" w:line="240" w:lineRule="auto"/>
      </w:pPr>
      <w:r>
        <w:separator/>
      </w:r>
    </w:p>
  </w:endnote>
  <w:endnote w:type="continuationSeparator" w:id="0">
    <w:p w14:paraId="1F441DB3" w14:textId="77777777" w:rsidR="00494C59" w:rsidRDefault="00494C59" w:rsidP="00A6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55B4" w14:textId="77777777" w:rsidR="00494C59" w:rsidRDefault="00494C59" w:rsidP="00A62EE9">
      <w:pPr>
        <w:spacing w:after="0" w:line="240" w:lineRule="auto"/>
      </w:pPr>
      <w:r>
        <w:separator/>
      </w:r>
    </w:p>
  </w:footnote>
  <w:footnote w:type="continuationSeparator" w:id="0">
    <w:p w14:paraId="5D7CC7AC" w14:textId="77777777" w:rsidR="00494C59" w:rsidRDefault="00494C59" w:rsidP="00A6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302E" w14:textId="0FFF0E58" w:rsidR="0059425A" w:rsidRDefault="00D42A93" w:rsidP="00D42A93">
    <w:pPr>
      <w:tabs>
        <w:tab w:val="center" w:pos="7699"/>
        <w:tab w:val="left" w:pos="13290"/>
      </w:tabs>
      <w:spacing w:after="0" w:line="240" w:lineRule="auto"/>
      <w:rPr>
        <w:noProof/>
        <w:lang w:eastAsia="en-GB"/>
      </w:rPr>
    </w:pPr>
    <w:r>
      <w:rPr>
        <w:noProof/>
        <w:sz w:val="28"/>
        <w:szCs w:val="28"/>
        <w:lang w:eastAsia="en-GB"/>
      </w:rPr>
      <w:drawing>
        <wp:anchor distT="0" distB="0" distL="114300" distR="114300" simplePos="0" relativeHeight="251659264" behindDoc="0" locked="0" layoutInCell="1" allowOverlap="1" wp14:anchorId="520BD850" wp14:editId="1F7A480F">
          <wp:simplePos x="0" y="0"/>
          <wp:positionH relativeFrom="margin">
            <wp:posOffset>8523605</wp:posOffset>
          </wp:positionH>
          <wp:positionV relativeFrom="margin">
            <wp:posOffset>-870585</wp:posOffset>
          </wp:positionV>
          <wp:extent cx="1310005" cy="3276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ab/>
    </w:r>
    <w:r w:rsidR="0059425A">
      <w:rPr>
        <w:noProof/>
        <w:lang w:eastAsia="en-GB"/>
      </w:rPr>
      <w:drawing>
        <wp:inline distT="0" distB="0" distL="0" distR="0" wp14:anchorId="287213BE" wp14:editId="4E44959D">
          <wp:extent cx="466725" cy="51097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rea.png"/>
                  <pic:cNvPicPr/>
                </pic:nvPicPr>
                <pic:blipFill>
                  <a:blip r:embed="rId2">
                    <a:extLst>
                      <a:ext uri="{28A0092B-C50C-407E-A947-70E740481C1C}">
                        <a14:useLocalDpi xmlns:a14="http://schemas.microsoft.com/office/drawing/2010/main" val="0"/>
                      </a:ext>
                    </a:extLst>
                  </a:blip>
                  <a:stretch>
                    <a:fillRect/>
                  </a:stretch>
                </pic:blipFill>
                <pic:spPr>
                  <a:xfrm>
                    <a:off x="0" y="0"/>
                    <a:ext cx="480506" cy="526061"/>
                  </a:xfrm>
                  <a:prstGeom prst="rect">
                    <a:avLst/>
                  </a:prstGeom>
                </pic:spPr>
              </pic:pic>
            </a:graphicData>
          </a:graphic>
        </wp:inline>
      </w:drawing>
    </w:r>
    <w:r>
      <w:rPr>
        <w:noProof/>
        <w:lang w:eastAsia="en-GB"/>
      </w:rPr>
      <w:tab/>
    </w:r>
  </w:p>
  <w:p w14:paraId="71D0CD1F" w14:textId="529EDF85" w:rsidR="00153494" w:rsidRPr="00D42A93" w:rsidRDefault="00D61EFC" w:rsidP="006D28CC">
    <w:pPr>
      <w:spacing w:after="0" w:line="240" w:lineRule="auto"/>
      <w:jc w:val="center"/>
      <w:rPr>
        <w:b/>
        <w:sz w:val="24"/>
        <w:szCs w:val="28"/>
      </w:rPr>
    </w:pPr>
    <w:r w:rsidRPr="00D42A93">
      <w:rPr>
        <w:b/>
        <w:sz w:val="24"/>
        <w:szCs w:val="28"/>
      </w:rPr>
      <w:t>Pupil Premium Strategies – Rationale Guidance</w:t>
    </w:r>
  </w:p>
  <w:p w14:paraId="41FE4A9B" w14:textId="77777777" w:rsidR="00153494" w:rsidRDefault="001534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24D"/>
    <w:multiLevelType w:val="hybridMultilevel"/>
    <w:tmpl w:val="DF5C809C"/>
    <w:lvl w:ilvl="0" w:tplc="04090001">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CommentSubjec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23C07"/>
    <w:multiLevelType w:val="hybridMultilevel"/>
    <w:tmpl w:val="26FE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66A2"/>
    <w:multiLevelType w:val="hybridMultilevel"/>
    <w:tmpl w:val="5A167D2A"/>
    <w:lvl w:ilvl="0" w:tplc="B7862AF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907F1E"/>
    <w:multiLevelType w:val="hybridMultilevel"/>
    <w:tmpl w:val="F6F6C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86007"/>
    <w:multiLevelType w:val="hybridMultilevel"/>
    <w:tmpl w:val="758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94876"/>
    <w:multiLevelType w:val="hybridMultilevel"/>
    <w:tmpl w:val="260A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80DAD"/>
    <w:multiLevelType w:val="hybridMultilevel"/>
    <w:tmpl w:val="1362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231BE"/>
    <w:multiLevelType w:val="hybridMultilevel"/>
    <w:tmpl w:val="2C86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10BA1"/>
    <w:multiLevelType w:val="hybridMultilevel"/>
    <w:tmpl w:val="88AE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82724"/>
    <w:multiLevelType w:val="hybridMultilevel"/>
    <w:tmpl w:val="9B9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4710A"/>
    <w:multiLevelType w:val="hybridMultilevel"/>
    <w:tmpl w:val="006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5E5E"/>
    <w:multiLevelType w:val="hybridMultilevel"/>
    <w:tmpl w:val="C3787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A6C92"/>
    <w:multiLevelType w:val="hybridMultilevel"/>
    <w:tmpl w:val="8E88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2"/>
  </w:num>
  <w:num w:numId="5">
    <w:abstractNumId w:val="0"/>
  </w:num>
  <w:num w:numId="6">
    <w:abstractNumId w:val="1"/>
  </w:num>
  <w:num w:numId="7">
    <w:abstractNumId w:val="4"/>
  </w:num>
  <w:num w:numId="8">
    <w:abstractNumId w:val="3"/>
  </w:num>
  <w:num w:numId="9">
    <w:abstractNumId w:val="13"/>
  </w:num>
  <w:num w:numId="10">
    <w:abstractNumId w:val="9"/>
  </w:num>
  <w:num w:numId="11">
    <w:abstractNumId w:val="12"/>
  </w:num>
  <w:num w:numId="12">
    <w:abstractNumId w:val="8"/>
  </w:num>
  <w:num w:numId="13">
    <w:abstractNumId w:val="10"/>
  </w:num>
  <w:num w:numId="14">
    <w:abstractNumId w:val="16"/>
  </w:num>
  <w:num w:numId="15">
    <w:abstractNumId w:val="1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8F"/>
    <w:rsid w:val="000016F4"/>
    <w:rsid w:val="00026AD4"/>
    <w:rsid w:val="000410FA"/>
    <w:rsid w:val="00047989"/>
    <w:rsid w:val="00061BC1"/>
    <w:rsid w:val="00064DED"/>
    <w:rsid w:val="000871CC"/>
    <w:rsid w:val="0009733E"/>
    <w:rsid w:val="000B660F"/>
    <w:rsid w:val="000C48CB"/>
    <w:rsid w:val="000C5F2F"/>
    <w:rsid w:val="000F5206"/>
    <w:rsid w:val="001101CF"/>
    <w:rsid w:val="001127A8"/>
    <w:rsid w:val="00125DFE"/>
    <w:rsid w:val="00130668"/>
    <w:rsid w:val="00132BDB"/>
    <w:rsid w:val="001340F6"/>
    <w:rsid w:val="001471CC"/>
    <w:rsid w:val="00153494"/>
    <w:rsid w:val="00162F9D"/>
    <w:rsid w:val="001855EB"/>
    <w:rsid w:val="00192798"/>
    <w:rsid w:val="001A5A2E"/>
    <w:rsid w:val="001C6F19"/>
    <w:rsid w:val="001C7748"/>
    <w:rsid w:val="001E2610"/>
    <w:rsid w:val="001F0C4D"/>
    <w:rsid w:val="001F7FED"/>
    <w:rsid w:val="0020238E"/>
    <w:rsid w:val="00217B69"/>
    <w:rsid w:val="00222D8E"/>
    <w:rsid w:val="00234FF1"/>
    <w:rsid w:val="00235631"/>
    <w:rsid w:val="00240138"/>
    <w:rsid w:val="00271A83"/>
    <w:rsid w:val="00286CAB"/>
    <w:rsid w:val="002C2DD3"/>
    <w:rsid w:val="002D5C99"/>
    <w:rsid w:val="002E6583"/>
    <w:rsid w:val="002F09AC"/>
    <w:rsid w:val="002F0B72"/>
    <w:rsid w:val="002F5720"/>
    <w:rsid w:val="00306854"/>
    <w:rsid w:val="00322E82"/>
    <w:rsid w:val="00322FC1"/>
    <w:rsid w:val="00324DCD"/>
    <w:rsid w:val="00331067"/>
    <w:rsid w:val="003351FF"/>
    <w:rsid w:val="003774DF"/>
    <w:rsid w:val="003828EA"/>
    <w:rsid w:val="003847BA"/>
    <w:rsid w:val="003B7E2F"/>
    <w:rsid w:val="003E144A"/>
    <w:rsid w:val="003F05F2"/>
    <w:rsid w:val="003F067E"/>
    <w:rsid w:val="003F576F"/>
    <w:rsid w:val="003F6AB8"/>
    <w:rsid w:val="003F6BE6"/>
    <w:rsid w:val="00420E0C"/>
    <w:rsid w:val="00423E33"/>
    <w:rsid w:val="004306A1"/>
    <w:rsid w:val="00437AD6"/>
    <w:rsid w:val="004411E6"/>
    <w:rsid w:val="00452C0A"/>
    <w:rsid w:val="00453548"/>
    <w:rsid w:val="00494C59"/>
    <w:rsid w:val="00495AAA"/>
    <w:rsid w:val="004D641F"/>
    <w:rsid w:val="004E1D95"/>
    <w:rsid w:val="004E21FA"/>
    <w:rsid w:val="004E5B79"/>
    <w:rsid w:val="004F0C98"/>
    <w:rsid w:val="004F23E5"/>
    <w:rsid w:val="004F3E78"/>
    <w:rsid w:val="004F7509"/>
    <w:rsid w:val="00500C2B"/>
    <w:rsid w:val="005049D5"/>
    <w:rsid w:val="00547E0F"/>
    <w:rsid w:val="00554FBB"/>
    <w:rsid w:val="00556A80"/>
    <w:rsid w:val="00557892"/>
    <w:rsid w:val="005649E7"/>
    <w:rsid w:val="005837D2"/>
    <w:rsid w:val="00587D1B"/>
    <w:rsid w:val="0059425A"/>
    <w:rsid w:val="005C19F4"/>
    <w:rsid w:val="005C3653"/>
    <w:rsid w:val="005C4B2D"/>
    <w:rsid w:val="005C56F9"/>
    <w:rsid w:val="005C5CBF"/>
    <w:rsid w:val="005D2532"/>
    <w:rsid w:val="005D6511"/>
    <w:rsid w:val="005F7A77"/>
    <w:rsid w:val="006274E9"/>
    <w:rsid w:val="006347F4"/>
    <w:rsid w:val="00635035"/>
    <w:rsid w:val="0064610D"/>
    <w:rsid w:val="00650ED1"/>
    <w:rsid w:val="0066542B"/>
    <w:rsid w:val="0066638E"/>
    <w:rsid w:val="00670824"/>
    <w:rsid w:val="00675833"/>
    <w:rsid w:val="00676D9E"/>
    <w:rsid w:val="006A79B4"/>
    <w:rsid w:val="006B4762"/>
    <w:rsid w:val="006C53DE"/>
    <w:rsid w:val="006D28CC"/>
    <w:rsid w:val="006D71F9"/>
    <w:rsid w:val="006E1937"/>
    <w:rsid w:val="006F504B"/>
    <w:rsid w:val="007236B5"/>
    <w:rsid w:val="0077527E"/>
    <w:rsid w:val="00775C08"/>
    <w:rsid w:val="00784C8E"/>
    <w:rsid w:val="007C4196"/>
    <w:rsid w:val="007C466E"/>
    <w:rsid w:val="007E282B"/>
    <w:rsid w:val="00806384"/>
    <w:rsid w:val="00827AD5"/>
    <w:rsid w:val="00852097"/>
    <w:rsid w:val="00852E8D"/>
    <w:rsid w:val="008E1706"/>
    <w:rsid w:val="008F2BE2"/>
    <w:rsid w:val="00915CEB"/>
    <w:rsid w:val="0091778E"/>
    <w:rsid w:val="00922235"/>
    <w:rsid w:val="00934704"/>
    <w:rsid w:val="00934C5A"/>
    <w:rsid w:val="009438B9"/>
    <w:rsid w:val="00951BA7"/>
    <w:rsid w:val="009539FC"/>
    <w:rsid w:val="009578CC"/>
    <w:rsid w:val="00957DB6"/>
    <w:rsid w:val="00964956"/>
    <w:rsid w:val="009774AC"/>
    <w:rsid w:val="0098280D"/>
    <w:rsid w:val="00983275"/>
    <w:rsid w:val="00996566"/>
    <w:rsid w:val="009A3518"/>
    <w:rsid w:val="009A48EE"/>
    <w:rsid w:val="009B2F35"/>
    <w:rsid w:val="009B5497"/>
    <w:rsid w:val="009C324E"/>
    <w:rsid w:val="009E4BD7"/>
    <w:rsid w:val="00A00BC0"/>
    <w:rsid w:val="00A00D76"/>
    <w:rsid w:val="00A114E0"/>
    <w:rsid w:val="00A14A93"/>
    <w:rsid w:val="00A15C26"/>
    <w:rsid w:val="00A42D13"/>
    <w:rsid w:val="00A62EE9"/>
    <w:rsid w:val="00A679E5"/>
    <w:rsid w:val="00A77597"/>
    <w:rsid w:val="00A8428D"/>
    <w:rsid w:val="00A8544A"/>
    <w:rsid w:val="00A86D2D"/>
    <w:rsid w:val="00AC342B"/>
    <w:rsid w:val="00AC3B2D"/>
    <w:rsid w:val="00AD36D7"/>
    <w:rsid w:val="00AD607A"/>
    <w:rsid w:val="00AE0707"/>
    <w:rsid w:val="00AE1AA0"/>
    <w:rsid w:val="00AF2094"/>
    <w:rsid w:val="00AF2FAA"/>
    <w:rsid w:val="00AF5E3D"/>
    <w:rsid w:val="00B67C6B"/>
    <w:rsid w:val="00B75ADD"/>
    <w:rsid w:val="00B84E2D"/>
    <w:rsid w:val="00B93CDA"/>
    <w:rsid w:val="00B96D6F"/>
    <w:rsid w:val="00BA10BC"/>
    <w:rsid w:val="00BA72C6"/>
    <w:rsid w:val="00BB0EEC"/>
    <w:rsid w:val="00BB3AA9"/>
    <w:rsid w:val="00BB3E0A"/>
    <w:rsid w:val="00BF0D34"/>
    <w:rsid w:val="00C1247F"/>
    <w:rsid w:val="00C263D1"/>
    <w:rsid w:val="00C32A96"/>
    <w:rsid w:val="00C365A6"/>
    <w:rsid w:val="00C412B4"/>
    <w:rsid w:val="00C53730"/>
    <w:rsid w:val="00C64B6A"/>
    <w:rsid w:val="00C66D74"/>
    <w:rsid w:val="00C70C33"/>
    <w:rsid w:val="00C858A7"/>
    <w:rsid w:val="00C976B0"/>
    <w:rsid w:val="00CA2E4F"/>
    <w:rsid w:val="00CF2D8F"/>
    <w:rsid w:val="00D0105A"/>
    <w:rsid w:val="00D03E1E"/>
    <w:rsid w:val="00D0655F"/>
    <w:rsid w:val="00D1096B"/>
    <w:rsid w:val="00D200C6"/>
    <w:rsid w:val="00D32AE7"/>
    <w:rsid w:val="00D42A93"/>
    <w:rsid w:val="00D50178"/>
    <w:rsid w:val="00D51C6F"/>
    <w:rsid w:val="00D61EFC"/>
    <w:rsid w:val="00D76B2E"/>
    <w:rsid w:val="00D95C15"/>
    <w:rsid w:val="00DD5176"/>
    <w:rsid w:val="00DD5C94"/>
    <w:rsid w:val="00DE1B23"/>
    <w:rsid w:val="00DF4889"/>
    <w:rsid w:val="00E17E55"/>
    <w:rsid w:val="00E2508E"/>
    <w:rsid w:val="00E4602D"/>
    <w:rsid w:val="00E54DB5"/>
    <w:rsid w:val="00E56B97"/>
    <w:rsid w:val="00E57851"/>
    <w:rsid w:val="00E61265"/>
    <w:rsid w:val="00E810AB"/>
    <w:rsid w:val="00E8528C"/>
    <w:rsid w:val="00EB43B5"/>
    <w:rsid w:val="00ED19B3"/>
    <w:rsid w:val="00EF07C9"/>
    <w:rsid w:val="00F02715"/>
    <w:rsid w:val="00F05BFC"/>
    <w:rsid w:val="00F20F2A"/>
    <w:rsid w:val="00F35932"/>
    <w:rsid w:val="00F40BA4"/>
    <w:rsid w:val="00F46465"/>
    <w:rsid w:val="00F57F4F"/>
    <w:rsid w:val="00F6530B"/>
    <w:rsid w:val="00F7502E"/>
    <w:rsid w:val="00F7573C"/>
    <w:rsid w:val="00F77015"/>
    <w:rsid w:val="00F85697"/>
    <w:rsid w:val="00F90CBA"/>
    <w:rsid w:val="00F97589"/>
    <w:rsid w:val="00FD4359"/>
    <w:rsid w:val="00FD6C7E"/>
    <w:rsid w:val="00FD77ED"/>
    <w:rsid w:val="00FE05BB"/>
    <w:rsid w:val="00FF0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A1902D"/>
  <w15:docId w15:val="{6406BBE0-1077-451A-92D5-A8709DB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2EE9"/>
    <w:pPr>
      <w:keepNext/>
      <w:keepLines/>
      <w:spacing w:before="480" w:after="0"/>
      <w:outlineLvl w:val="0"/>
    </w:pPr>
    <w:rPr>
      <w:rFonts w:ascii="Tahoma" w:hAnsi="Tahom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8F"/>
    <w:rPr>
      <w:rFonts w:ascii="Tahoma" w:hAnsi="Tahoma" w:cs="Tahoma"/>
      <w:sz w:val="16"/>
      <w:szCs w:val="16"/>
    </w:rPr>
  </w:style>
  <w:style w:type="table" w:styleId="TableGrid">
    <w:name w:val="Table Grid"/>
    <w:basedOn w:val="TableNormal"/>
    <w:uiPriority w:val="59"/>
    <w:rsid w:val="00CF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D8F"/>
    <w:pPr>
      <w:ind w:left="720"/>
      <w:contextualSpacing/>
    </w:pPr>
  </w:style>
  <w:style w:type="character" w:styleId="CommentReference">
    <w:name w:val="annotation reference"/>
    <w:uiPriority w:val="99"/>
    <w:rsid w:val="00A114E0"/>
    <w:rPr>
      <w:sz w:val="16"/>
      <w:szCs w:val="16"/>
    </w:rPr>
  </w:style>
  <w:style w:type="paragraph" w:customStyle="1" w:styleId="Tabletextbullet">
    <w:name w:val="Table text bullet"/>
    <w:basedOn w:val="Normal"/>
    <w:rsid w:val="00A114E0"/>
    <w:pPr>
      <w:numPr>
        <w:numId w:val="5"/>
      </w:numPr>
      <w:spacing w:before="60" w:after="60" w:line="240" w:lineRule="auto"/>
      <w:contextualSpacing/>
    </w:pPr>
    <w:rPr>
      <w:rFonts w:ascii="Tahoma" w:eastAsia="Times New Roman" w:hAnsi="Tahoma" w:cs="Times New Roman"/>
      <w:color w:val="000000"/>
      <w:szCs w:val="24"/>
    </w:rPr>
  </w:style>
  <w:style w:type="character" w:customStyle="1" w:styleId="Heading1Char">
    <w:name w:val="Heading 1 Char"/>
    <w:link w:val="Heading1"/>
    <w:rsid w:val="00A62EE9"/>
    <w:rPr>
      <w:rFonts w:ascii="Tahoma" w:hAnsi="Tahoma"/>
      <w:b/>
      <w:sz w:val="32"/>
      <w:szCs w:val="32"/>
    </w:rPr>
  </w:style>
  <w:style w:type="paragraph" w:customStyle="1" w:styleId="Bulletskeyfindings">
    <w:name w:val="Bullets (key findings)"/>
    <w:basedOn w:val="Normal"/>
    <w:link w:val="BulletskeyfindingsChar"/>
    <w:rsid w:val="00A62EE9"/>
    <w:pPr>
      <w:spacing w:after="120" w:line="240" w:lineRule="auto"/>
    </w:pPr>
    <w:rPr>
      <w:rFonts w:ascii="Tahoma" w:eastAsia="Times New Roman" w:hAnsi="Tahoma" w:cs="Times New Roman"/>
      <w:color w:val="000000"/>
      <w:sz w:val="24"/>
      <w:szCs w:val="24"/>
    </w:rPr>
  </w:style>
  <w:style w:type="character" w:customStyle="1" w:styleId="BulletskeyfindingsChar">
    <w:name w:val="Bullets (key findings) Char"/>
    <w:link w:val="Bulletskeyfindings"/>
    <w:locked/>
    <w:rsid w:val="00A62EE9"/>
    <w:rPr>
      <w:rFonts w:ascii="Tahoma" w:eastAsia="Times New Roman" w:hAnsi="Tahoma" w:cs="Times New Roman"/>
      <w:color w:val="000000"/>
      <w:sz w:val="24"/>
      <w:szCs w:val="24"/>
    </w:rPr>
  </w:style>
  <w:style w:type="paragraph" w:styleId="CommentText">
    <w:name w:val="annotation text"/>
    <w:basedOn w:val="Normal"/>
    <w:link w:val="CommentTextChar"/>
    <w:uiPriority w:val="99"/>
    <w:semiHidden/>
    <w:unhideWhenUsed/>
    <w:rsid w:val="00A62EE9"/>
    <w:pPr>
      <w:spacing w:line="240" w:lineRule="auto"/>
    </w:pPr>
    <w:rPr>
      <w:sz w:val="24"/>
      <w:szCs w:val="24"/>
    </w:rPr>
  </w:style>
  <w:style w:type="character" w:customStyle="1" w:styleId="CommentTextChar">
    <w:name w:val="Comment Text Char"/>
    <w:basedOn w:val="DefaultParagraphFont"/>
    <w:link w:val="CommentText"/>
    <w:uiPriority w:val="99"/>
    <w:semiHidden/>
    <w:rsid w:val="00A62EE9"/>
    <w:rPr>
      <w:sz w:val="24"/>
      <w:szCs w:val="24"/>
    </w:rPr>
  </w:style>
  <w:style w:type="paragraph" w:styleId="CommentSubject">
    <w:name w:val="annotation subject"/>
    <w:basedOn w:val="CommentText"/>
    <w:next w:val="CommentText"/>
    <w:link w:val="CommentSubjectChar"/>
    <w:rsid w:val="00A62EE9"/>
    <w:pPr>
      <w:numPr>
        <w:numId w:val="4"/>
      </w:numPr>
      <w:tabs>
        <w:tab w:val="clear" w:pos="1627"/>
      </w:tabs>
      <w:spacing w:after="0"/>
      <w:ind w:left="0" w:firstLine="0"/>
    </w:pPr>
    <w:rPr>
      <w:rFonts w:ascii="Tahoma" w:eastAsia="Times New Roman" w:hAnsi="Tahoma" w:cs="Times New Roman"/>
      <w:b/>
      <w:bCs/>
      <w:color w:val="000000"/>
      <w:sz w:val="20"/>
      <w:szCs w:val="20"/>
    </w:rPr>
  </w:style>
  <w:style w:type="character" w:customStyle="1" w:styleId="CommentSubjectChar">
    <w:name w:val="Comment Subject Char"/>
    <w:basedOn w:val="CommentTextChar"/>
    <w:link w:val="CommentSubject"/>
    <w:rsid w:val="00A62EE9"/>
    <w:rPr>
      <w:rFonts w:ascii="Tahoma" w:eastAsia="Times New Roman" w:hAnsi="Tahoma" w:cs="Times New Roman"/>
      <w:b/>
      <w:bCs/>
      <w:color w:val="000000"/>
      <w:sz w:val="20"/>
      <w:szCs w:val="20"/>
    </w:rPr>
  </w:style>
  <w:style w:type="paragraph" w:styleId="FootnoteText">
    <w:name w:val="footnote text"/>
    <w:basedOn w:val="Normal"/>
    <w:link w:val="FootnoteTextChar"/>
    <w:uiPriority w:val="99"/>
    <w:rsid w:val="00A62EE9"/>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A62EE9"/>
    <w:rPr>
      <w:rFonts w:ascii="Tahoma" w:eastAsia="Times New Roman" w:hAnsi="Tahoma" w:cs="Times New Roman"/>
      <w:color w:val="000000"/>
      <w:sz w:val="20"/>
      <w:szCs w:val="20"/>
    </w:rPr>
  </w:style>
  <w:style w:type="character" w:styleId="FootnoteReference">
    <w:name w:val="footnote reference"/>
    <w:rsid w:val="00A62EE9"/>
    <w:rPr>
      <w:vertAlign w:val="superscript"/>
    </w:rPr>
  </w:style>
  <w:style w:type="character" w:customStyle="1" w:styleId="Heading1Char1">
    <w:name w:val="Heading 1 Char1"/>
    <w:basedOn w:val="DefaultParagraphFont"/>
    <w:uiPriority w:val="9"/>
    <w:rsid w:val="00A62EE9"/>
    <w:rPr>
      <w:rFonts w:asciiTheme="majorHAnsi" w:eastAsiaTheme="majorEastAsia" w:hAnsiTheme="majorHAnsi" w:cstheme="majorBidi"/>
      <w:b/>
      <w:bCs/>
      <w:color w:val="345A8A" w:themeColor="accent1" w:themeShade="B5"/>
      <w:sz w:val="32"/>
      <w:szCs w:val="32"/>
    </w:rPr>
  </w:style>
  <w:style w:type="paragraph" w:customStyle="1" w:styleId="Tabletext-left">
    <w:name w:val="Table text - left"/>
    <w:basedOn w:val="Normal"/>
    <w:link w:val="Tabletext-leftChar"/>
    <w:rsid w:val="00192798"/>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192798"/>
    <w:rPr>
      <w:rFonts w:ascii="Tahoma" w:eastAsia="Times New Roman" w:hAnsi="Tahoma" w:cs="Times New Roman"/>
      <w:color w:val="000000"/>
      <w:szCs w:val="24"/>
    </w:rPr>
  </w:style>
  <w:style w:type="paragraph" w:customStyle="1" w:styleId="Bulletsspaced">
    <w:name w:val="Bullets (spaced)"/>
    <w:basedOn w:val="Normal"/>
    <w:link w:val="BulletsspacedChar"/>
    <w:autoRedefine/>
    <w:rsid w:val="001101CF"/>
    <w:pPr>
      <w:numPr>
        <w:numId w:val="6"/>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locked/>
    <w:rsid w:val="001101CF"/>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15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494"/>
  </w:style>
  <w:style w:type="paragraph" w:styleId="Footer">
    <w:name w:val="footer"/>
    <w:basedOn w:val="Normal"/>
    <w:link w:val="FooterChar"/>
    <w:uiPriority w:val="99"/>
    <w:unhideWhenUsed/>
    <w:rsid w:val="00153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494"/>
  </w:style>
  <w:style w:type="character" w:styleId="Hyperlink">
    <w:name w:val="Hyperlink"/>
    <w:basedOn w:val="DefaultParagraphFont"/>
    <w:uiPriority w:val="99"/>
    <w:unhideWhenUsed/>
    <w:rsid w:val="0091778E"/>
    <w:rPr>
      <w:color w:val="0000FF" w:themeColor="hyperlink"/>
      <w:u w:val="single"/>
    </w:rPr>
  </w:style>
  <w:style w:type="character" w:styleId="FollowedHyperlink">
    <w:name w:val="FollowedHyperlink"/>
    <w:basedOn w:val="DefaultParagraphFont"/>
    <w:uiPriority w:val="99"/>
    <w:semiHidden/>
    <w:unhideWhenUsed/>
    <w:rsid w:val="00917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mastery-learning/" TargetMode="External"/><Relationship Id="rId18" Type="http://schemas.openxmlformats.org/officeDocument/2006/relationships/hyperlink" Target="https://www.gov.uk/government/publications/the-pupil-premium-how-schools-are-spending-the-funding-successfully" TargetMode="External"/><Relationship Id="rId26" Type="http://schemas.openxmlformats.org/officeDocument/2006/relationships/hyperlink" Target="https://educationendowmentfoundation.org.uk/evidence-summaries/teaching-learning-toolkit/reading-comprehension-strategies/" TargetMode="External"/><Relationship Id="rId39" Type="http://schemas.openxmlformats.org/officeDocument/2006/relationships/fontTable" Target="fontTable.xml"/><Relationship Id="rId21" Type="http://schemas.openxmlformats.org/officeDocument/2006/relationships/hyperlink" Target="https://www.sportengland.org/research/benefits-of-sport/" TargetMode="External"/><Relationship Id="rId34" Type="http://schemas.openxmlformats.org/officeDocument/2006/relationships/hyperlink" Target="https://educationendowmentfoundation.org.uk/evidence-summaries/attainment-gap/" TargetMode="External"/><Relationship Id="rId7" Type="http://schemas.openxmlformats.org/officeDocument/2006/relationships/webSettings" Target="webSettings.xml"/><Relationship Id="rId12" Type="http://schemas.openxmlformats.org/officeDocument/2006/relationships/hyperlink" Target="https://educationendowmentfoundation.org.uk/evidence-summaries/attainment-gap/" TargetMode="External"/><Relationship Id="rId17" Type="http://schemas.openxmlformats.org/officeDocument/2006/relationships/hyperlink" Target="http://www.bbc.co.uk/news/health-28703013" TargetMode="External"/><Relationship Id="rId25" Type="http://schemas.openxmlformats.org/officeDocument/2006/relationships/hyperlink" Target="http://scholarworks.wmich.edu/cgi/viewcontent.cgi?article=1292&amp;context=reading_horizons" TargetMode="External"/><Relationship Id="rId33" Type="http://schemas.openxmlformats.org/officeDocument/2006/relationships/hyperlink" Target="https://www.gov.uk/government/publications/the-pupil-premium-how-schools-are-spending-the-funding-successfully"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social-and-emotional-learning/" TargetMode="External"/><Relationship Id="rId20" Type="http://schemas.openxmlformats.org/officeDocument/2006/relationships/hyperlink" Target="https://educationendowmentfoundation.org.uk/evidence-summaries/teaching-learning-toolkit/outdoor-adventure-learning/" TargetMode="External"/><Relationship Id="rId29" Type="http://schemas.openxmlformats.org/officeDocument/2006/relationships/hyperlink" Target="https://www.gov.uk/government/publications/the-pupil-premium-how-schools-are-spending-the-funding-successful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Campaigns/Literacy/KS1_Literacy_Guidance.pdf" TargetMode="External"/><Relationship Id="rId24" Type="http://schemas.openxmlformats.org/officeDocument/2006/relationships/hyperlink" Target="https://educationendowmentfoundation.org.uk/evidence-summaries/teaching-learning-toolkit/phonics/" TargetMode="External"/><Relationship Id="rId32" Type="http://schemas.openxmlformats.org/officeDocument/2006/relationships/hyperlink" Target="https://educationendowmentfoundation.org.uk/evidence-summaries/teaching-learning-toolkit" TargetMode="External"/><Relationship Id="rId37" Type="http://schemas.openxmlformats.org/officeDocument/2006/relationships/hyperlink" Target="https://educationendowmentfoundation.org.uk/evidence-summaries/attainment-gap/"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riveapproach.com/" TargetMode="External"/><Relationship Id="rId23" Type="http://schemas.openxmlformats.org/officeDocument/2006/relationships/hyperlink" Target="https://educationendowmentfoundation.org.uk/tools/guidance-reports/maths-ks-two-three/" TargetMode="External"/><Relationship Id="rId28" Type="http://schemas.openxmlformats.org/officeDocument/2006/relationships/hyperlink" Target="https://www.widgit.com/symbols/index.htm" TargetMode="External"/><Relationship Id="rId36" Type="http://schemas.openxmlformats.org/officeDocument/2006/relationships/hyperlink" Target="https://www.gov.uk/government/uploads/system/uploads/attachment_data/file/473976/DFE-RS411_Supporting_the_attainment_of_disadvantaged_pupils_-_briefing_for_school_leaders.pdf" TargetMode="External"/><Relationship Id="rId10" Type="http://schemas.openxmlformats.org/officeDocument/2006/relationships/hyperlink" Target="https://educationendowmentfoundation.org.uk/evidence-summaries/teaching-learning-toolkit/feedback/" TargetMode="External"/><Relationship Id="rId19" Type="http://schemas.openxmlformats.org/officeDocument/2006/relationships/hyperlink" Target="https://www.gov.uk/government/publications/the-pupil-premium-how-schools-are-spending-the-funding-successfully" TargetMode="External"/><Relationship Id="rId31" Type="http://schemas.openxmlformats.org/officeDocument/2006/relationships/hyperlink" Target="https://www.gov.uk/government/uploads/system/uploads/attachment_data/file/473976/DFE-RS411_Supporting_the_attainment_of_disadvantaged_pupils_-_briefing_for_school_leader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ocial-and-emotional-learning/" TargetMode="External"/><Relationship Id="rId22" Type="http://schemas.openxmlformats.org/officeDocument/2006/relationships/hyperlink" Target="https://educationendowmentfoundation.org.uk/school-themes/parental-engagement/" TargetMode="External"/><Relationship Id="rId27" Type="http://schemas.openxmlformats.org/officeDocument/2006/relationships/hyperlink" Target="https://educationendowmentfoundation.org.uk/projects-and-evaluation/projects/accelerated-reader/" TargetMode="External"/><Relationship Id="rId30" Type="http://schemas.openxmlformats.org/officeDocument/2006/relationships/hyperlink" Target="https://educationendowmentfoundation.org.uk/evidence-summaries/attainment-gap/" TargetMode="External"/><Relationship Id="rId35" Type="http://schemas.openxmlformats.org/officeDocument/2006/relationships/hyperlink" Target="https://www.gov.uk/government/publications/the-pupil-premium-how-schools-are-spending-the-funding-successfully"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D618B0A0AA446970AE4F5EB21C967" ma:contentTypeVersion="7" ma:contentTypeDescription="Create a new document." ma:contentTypeScope="" ma:versionID="a46eb1a38a0c487973eecec9785c53e5">
  <xsd:schema xmlns:xsd="http://www.w3.org/2001/XMLSchema" xmlns:xs="http://www.w3.org/2001/XMLSchema" xmlns:p="http://schemas.microsoft.com/office/2006/metadata/properties" xmlns:ns2="d022ee9e-b7d4-4e4f-9d62-e3a8222dad06" xmlns:ns3="9e72c1ed-a2eb-450d-97c9-b3f98303eb09" targetNamespace="http://schemas.microsoft.com/office/2006/metadata/properties" ma:root="true" ma:fieldsID="9de391112d1c5871687d09a245285082" ns2:_="" ns3:_="">
    <xsd:import namespace="d022ee9e-b7d4-4e4f-9d62-e3a8222dad06"/>
    <xsd:import namespace="9e72c1ed-a2eb-450d-97c9-b3f98303eb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ee9e-b7d4-4e4f-9d62-e3a8222da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2c1ed-a2eb-450d-97c9-b3f98303e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E8905-8AB2-4928-84A6-DE5AC2C8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ee9e-b7d4-4e4f-9d62-e3a8222dad06"/>
    <ds:schemaRef ds:uri="9e72c1ed-a2eb-450d-97c9-b3f98303e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79D4E-CB80-4358-925D-A61E342CBD05}">
  <ds:schemaRefs>
    <ds:schemaRef ds:uri="http://schemas.microsoft.com/sharepoint/v3/contenttype/forms"/>
  </ds:schemaRefs>
</ds:datastoreItem>
</file>

<file path=customXml/itemProps3.xml><?xml version="1.0" encoding="utf-8"?>
<ds:datastoreItem xmlns:ds="http://schemas.openxmlformats.org/officeDocument/2006/customXml" ds:itemID="{BFFBCC9D-4A20-41B1-AD9B-3A14B2318498}">
  <ds:schemaRefs>
    <ds:schemaRef ds:uri="http://purl.org/dc/elements/1.1/"/>
    <ds:schemaRef ds:uri="http://www.w3.org/XML/1998/namespace"/>
    <ds:schemaRef ds:uri="http://schemas.microsoft.com/office/2006/documentManagement/types"/>
    <ds:schemaRef ds:uri="9e72c1ed-a2eb-450d-97c9-b3f98303eb09"/>
    <ds:schemaRef ds:uri="http://purl.org/dc/terms/"/>
    <ds:schemaRef ds:uri="http://schemas.microsoft.com/office/2006/metadata/properties"/>
    <ds:schemaRef ds:uri="d022ee9e-b7d4-4e4f-9d62-e3a8222dad06"/>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Crossley</dc:creator>
  <cp:lastModifiedBy>Rebecca Swift (Hatfield)</cp:lastModifiedBy>
  <cp:revision>5</cp:revision>
  <cp:lastPrinted>2016-11-16T09:31:00Z</cp:lastPrinted>
  <dcterms:created xsi:type="dcterms:W3CDTF">2018-03-14T17:20:00Z</dcterms:created>
  <dcterms:modified xsi:type="dcterms:W3CDTF">2020-02-25T08:56:00Z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0x0101002F9D618B0A0AA446970AE4F5EB21C967</vt:lpwstr>
  </property>
</Properties>
</file>